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F121" w14:textId="77777777" w:rsidR="00151534" w:rsidRPr="00C35DEE" w:rsidRDefault="00151534" w:rsidP="001320E4">
      <w:pPr>
        <w:pStyle w:val="Default"/>
        <w:jc w:val="center"/>
        <w:rPr>
          <w:b/>
        </w:rPr>
      </w:pPr>
      <w:r w:rsidRPr="00C35DEE">
        <w:rPr>
          <w:b/>
        </w:rPr>
        <w:t>California Department of Managed Health Care</w:t>
      </w:r>
    </w:p>
    <w:p w14:paraId="25023B75" w14:textId="77777777" w:rsidR="00151534" w:rsidRPr="00C35DEE" w:rsidRDefault="00151534" w:rsidP="001320E4">
      <w:pPr>
        <w:pStyle w:val="Default"/>
        <w:jc w:val="center"/>
        <w:rPr>
          <w:b/>
        </w:rPr>
      </w:pPr>
      <w:r w:rsidRPr="00C35DEE">
        <w:rPr>
          <w:b/>
        </w:rPr>
        <w:t>California Department of Insurance</w:t>
      </w:r>
    </w:p>
    <w:p w14:paraId="61AFC162" w14:textId="77777777" w:rsidR="00151534" w:rsidRPr="00C35DEE" w:rsidRDefault="00151534" w:rsidP="00013A78">
      <w:pPr>
        <w:pStyle w:val="CM23"/>
        <w:spacing w:line="276" w:lineRule="atLeast"/>
        <w:jc w:val="center"/>
        <w:rPr>
          <w:b/>
          <w:bCs/>
          <w:color w:val="000000" w:themeColor="text1"/>
        </w:rPr>
      </w:pPr>
    </w:p>
    <w:p w14:paraId="2E9AAA30" w14:textId="77777777" w:rsidR="000A6FF3" w:rsidRPr="00C35DEE" w:rsidRDefault="009351F2" w:rsidP="00AF739B">
      <w:pPr>
        <w:pStyle w:val="CM23"/>
        <w:spacing w:line="276" w:lineRule="atLeast"/>
        <w:jc w:val="center"/>
        <w:rPr>
          <w:b/>
          <w:bCs/>
          <w:color w:val="000000" w:themeColor="text1"/>
        </w:rPr>
      </w:pPr>
      <w:r w:rsidRPr="00C35DEE">
        <w:rPr>
          <w:b/>
          <w:bCs/>
          <w:color w:val="000000" w:themeColor="text1"/>
        </w:rPr>
        <w:t xml:space="preserve">Submission of </w:t>
      </w:r>
    </w:p>
    <w:p w14:paraId="7E7FC841" w14:textId="77777777" w:rsidR="00DC1F03" w:rsidRPr="00C35DEE" w:rsidRDefault="003E5C84" w:rsidP="00013A78">
      <w:pPr>
        <w:pStyle w:val="CM23"/>
        <w:spacing w:line="276" w:lineRule="atLeast"/>
        <w:jc w:val="center"/>
        <w:rPr>
          <w:b/>
          <w:bCs/>
          <w:color w:val="000000" w:themeColor="text1"/>
        </w:rPr>
      </w:pPr>
      <w:r w:rsidRPr="00C35DEE">
        <w:rPr>
          <w:b/>
          <w:bCs/>
          <w:color w:val="000000" w:themeColor="text1"/>
        </w:rPr>
        <w:t xml:space="preserve">Individual and Small Group </w:t>
      </w:r>
      <w:r w:rsidR="0007786F" w:rsidRPr="00C35DEE">
        <w:rPr>
          <w:b/>
          <w:bCs/>
          <w:color w:val="000000" w:themeColor="text1"/>
        </w:rPr>
        <w:t xml:space="preserve">Market Aggregate </w:t>
      </w:r>
      <w:r w:rsidRPr="00C35DEE">
        <w:rPr>
          <w:b/>
          <w:bCs/>
          <w:color w:val="000000" w:themeColor="text1"/>
        </w:rPr>
        <w:t>Rate Information</w:t>
      </w:r>
    </w:p>
    <w:p w14:paraId="07325722" w14:textId="77777777" w:rsidR="00AF739B" w:rsidRPr="00C35DEE" w:rsidRDefault="00AF739B" w:rsidP="007C40BE">
      <w:pPr>
        <w:pStyle w:val="Default"/>
        <w:spacing w:after="240"/>
        <w:jc w:val="center"/>
      </w:pPr>
      <w:r w:rsidRPr="00C35DEE">
        <w:rPr>
          <w:b/>
          <w:bCs/>
          <w:color w:val="000000" w:themeColor="text1"/>
        </w:rPr>
        <w:t xml:space="preserve">(Assembly Bill </w:t>
      </w:r>
      <w:r w:rsidR="003E5C84" w:rsidRPr="00C35DEE">
        <w:rPr>
          <w:b/>
          <w:bCs/>
          <w:color w:val="000000" w:themeColor="text1"/>
        </w:rPr>
        <w:t>2118</w:t>
      </w:r>
      <w:r w:rsidRPr="00C35DEE">
        <w:rPr>
          <w:b/>
          <w:bCs/>
          <w:color w:val="000000" w:themeColor="text1"/>
        </w:rPr>
        <w:t>)</w:t>
      </w:r>
    </w:p>
    <w:p w14:paraId="31456E06" w14:textId="77777777" w:rsidR="00FF27FB" w:rsidRPr="00C35DEE" w:rsidRDefault="007C40BE" w:rsidP="00A71E9F">
      <w:pPr>
        <w:pStyle w:val="Default"/>
        <w:spacing w:after="240"/>
        <w:jc w:val="center"/>
        <w:rPr>
          <w:b/>
          <w:color w:val="000000" w:themeColor="text1"/>
        </w:rPr>
      </w:pPr>
      <w:r w:rsidRPr="00C35DEE">
        <w:rPr>
          <w:b/>
          <w:color w:val="000000" w:themeColor="text1"/>
        </w:rPr>
        <w:t>Guidance</w:t>
      </w:r>
    </w:p>
    <w:p w14:paraId="78D082D4" w14:textId="77777777" w:rsidR="00DC1F03" w:rsidRPr="00C35DEE" w:rsidRDefault="00EF18B0" w:rsidP="000F5F7E">
      <w:pPr>
        <w:pStyle w:val="CM23"/>
        <w:spacing w:after="240"/>
        <w:rPr>
          <w:b/>
          <w:bCs/>
          <w:color w:val="000000" w:themeColor="text1"/>
          <w:u w:val="single"/>
        </w:rPr>
      </w:pPr>
      <w:r w:rsidRPr="00C35DEE">
        <w:rPr>
          <w:b/>
          <w:bCs/>
          <w:color w:val="000000" w:themeColor="text1"/>
          <w:u w:val="single"/>
        </w:rPr>
        <w:t xml:space="preserve">Section I:  </w:t>
      </w:r>
      <w:r w:rsidR="00DC1F03" w:rsidRPr="00C35DEE">
        <w:rPr>
          <w:b/>
          <w:bCs/>
          <w:color w:val="000000" w:themeColor="text1"/>
          <w:u w:val="single"/>
        </w:rPr>
        <w:t>Background.</w:t>
      </w:r>
    </w:p>
    <w:p w14:paraId="7237F134" w14:textId="508DB103" w:rsidR="00DC1F03" w:rsidRPr="00C35DEE" w:rsidRDefault="00DC1F03" w:rsidP="00DC1F03">
      <w:pPr>
        <w:rPr>
          <w:rFonts w:ascii="Arial" w:hAnsi="Arial" w:cs="Arial"/>
          <w:color w:val="000000" w:themeColor="text1"/>
          <w:sz w:val="24"/>
          <w:szCs w:val="24"/>
        </w:rPr>
      </w:pPr>
      <w:r w:rsidRPr="00C35DEE">
        <w:rPr>
          <w:rFonts w:ascii="Arial" w:hAnsi="Arial" w:cs="Arial"/>
          <w:color w:val="000000" w:themeColor="text1"/>
          <w:sz w:val="24"/>
          <w:szCs w:val="24"/>
        </w:rPr>
        <w:t xml:space="preserve">Assembly Bill </w:t>
      </w:r>
      <w:r w:rsidR="00AC07E6" w:rsidRPr="00C35DEE">
        <w:rPr>
          <w:rFonts w:ascii="Arial" w:hAnsi="Arial" w:cs="Arial"/>
          <w:color w:val="000000" w:themeColor="text1"/>
          <w:sz w:val="24"/>
          <w:szCs w:val="24"/>
        </w:rPr>
        <w:t xml:space="preserve">2118 </w:t>
      </w:r>
      <w:r w:rsidRPr="00C35DEE">
        <w:rPr>
          <w:rFonts w:ascii="Arial" w:hAnsi="Arial" w:cs="Arial"/>
          <w:color w:val="000000" w:themeColor="text1"/>
          <w:sz w:val="24"/>
          <w:szCs w:val="24"/>
        </w:rPr>
        <w:t>(Kalra-Stats. 20</w:t>
      </w:r>
      <w:r w:rsidR="00AC07E6" w:rsidRPr="00C35DEE">
        <w:rPr>
          <w:rFonts w:ascii="Arial" w:hAnsi="Arial" w:cs="Arial"/>
          <w:color w:val="000000" w:themeColor="text1"/>
          <w:sz w:val="24"/>
          <w:szCs w:val="24"/>
        </w:rPr>
        <w:t>20</w:t>
      </w:r>
      <w:r w:rsidRPr="00C35DEE">
        <w:rPr>
          <w:rFonts w:ascii="Arial" w:hAnsi="Arial" w:cs="Arial"/>
          <w:color w:val="000000" w:themeColor="text1"/>
          <w:sz w:val="24"/>
          <w:szCs w:val="24"/>
        </w:rPr>
        <w:t>, ch.</w:t>
      </w:r>
      <w:r w:rsidR="00AC07E6" w:rsidRPr="00C35DEE">
        <w:rPr>
          <w:rFonts w:ascii="Arial" w:hAnsi="Arial" w:cs="Arial"/>
          <w:color w:val="000000" w:themeColor="text1"/>
          <w:sz w:val="24"/>
          <w:szCs w:val="24"/>
        </w:rPr>
        <w:t>277</w:t>
      </w:r>
      <w:r w:rsidRPr="00C35DEE">
        <w:rPr>
          <w:rFonts w:ascii="Arial" w:hAnsi="Arial" w:cs="Arial"/>
          <w:color w:val="000000" w:themeColor="text1"/>
          <w:sz w:val="24"/>
          <w:szCs w:val="24"/>
        </w:rPr>
        <w:t xml:space="preserve">), </w:t>
      </w:r>
      <w:r w:rsidR="00AC07E6" w:rsidRPr="00C35DEE">
        <w:rPr>
          <w:rFonts w:ascii="Arial" w:hAnsi="Arial" w:cs="Arial"/>
          <w:color w:val="000000" w:themeColor="text1"/>
          <w:sz w:val="24"/>
          <w:szCs w:val="24"/>
        </w:rPr>
        <w:t xml:space="preserve">requires </w:t>
      </w:r>
      <w:r w:rsidR="00625D62" w:rsidRPr="00C35DEE">
        <w:rPr>
          <w:rFonts w:ascii="Arial" w:hAnsi="Arial" w:cs="Arial"/>
          <w:color w:val="000000" w:themeColor="text1"/>
          <w:sz w:val="24"/>
          <w:szCs w:val="24"/>
        </w:rPr>
        <w:t xml:space="preserve">a </w:t>
      </w:r>
      <w:r w:rsidR="00AC07E6" w:rsidRPr="00C35DEE">
        <w:rPr>
          <w:rFonts w:ascii="Arial" w:hAnsi="Arial" w:cs="Arial"/>
          <w:color w:val="000000" w:themeColor="text1"/>
          <w:sz w:val="24"/>
          <w:szCs w:val="24"/>
        </w:rPr>
        <w:t xml:space="preserve">health </w:t>
      </w:r>
      <w:r w:rsidR="00625D62" w:rsidRPr="00C35DEE">
        <w:rPr>
          <w:rFonts w:ascii="Arial" w:hAnsi="Arial" w:cs="Arial"/>
          <w:color w:val="000000" w:themeColor="text1"/>
          <w:sz w:val="24"/>
          <w:szCs w:val="24"/>
        </w:rPr>
        <w:t xml:space="preserve">care service </w:t>
      </w:r>
      <w:r w:rsidR="00AC07E6" w:rsidRPr="00C35DEE">
        <w:rPr>
          <w:rFonts w:ascii="Arial" w:hAnsi="Arial" w:cs="Arial"/>
          <w:color w:val="000000" w:themeColor="text1"/>
          <w:sz w:val="24"/>
          <w:szCs w:val="24"/>
        </w:rPr>
        <w:t>plan and</w:t>
      </w:r>
      <w:r w:rsidR="00625D62" w:rsidRPr="00C35DEE">
        <w:rPr>
          <w:rFonts w:ascii="Arial" w:hAnsi="Arial" w:cs="Arial"/>
          <w:color w:val="000000" w:themeColor="text1"/>
          <w:sz w:val="24"/>
          <w:szCs w:val="24"/>
        </w:rPr>
        <w:t xml:space="preserve"> a</w:t>
      </w:r>
      <w:r w:rsidR="00AC07E6" w:rsidRPr="00C35DEE">
        <w:rPr>
          <w:rFonts w:ascii="Arial" w:hAnsi="Arial" w:cs="Arial"/>
          <w:color w:val="000000" w:themeColor="text1"/>
          <w:sz w:val="24"/>
          <w:szCs w:val="24"/>
        </w:rPr>
        <w:t xml:space="preserve"> health insurer</w:t>
      </w:r>
      <w:r w:rsidR="00D15351" w:rsidRPr="00C35DEE">
        <w:rPr>
          <w:rFonts w:ascii="Arial" w:hAnsi="Arial" w:cs="Arial"/>
          <w:color w:val="000000" w:themeColor="text1"/>
          <w:sz w:val="24"/>
          <w:szCs w:val="24"/>
        </w:rPr>
        <w:t xml:space="preserve">, not including </w:t>
      </w:r>
      <w:r w:rsidR="00625D62" w:rsidRPr="00C35DEE">
        <w:rPr>
          <w:rFonts w:ascii="Arial" w:hAnsi="Arial" w:cs="Arial"/>
          <w:color w:val="000000" w:themeColor="text1"/>
          <w:sz w:val="24"/>
          <w:szCs w:val="24"/>
        </w:rPr>
        <w:t xml:space="preserve">a </w:t>
      </w:r>
      <w:r w:rsidR="00D15351" w:rsidRPr="00C35DEE">
        <w:rPr>
          <w:rFonts w:ascii="Arial" w:hAnsi="Arial" w:cs="Arial"/>
          <w:color w:val="000000" w:themeColor="text1"/>
          <w:sz w:val="24"/>
          <w:szCs w:val="24"/>
        </w:rPr>
        <w:t>specialized health</w:t>
      </w:r>
      <w:r w:rsidR="00625D62" w:rsidRPr="00C35DEE">
        <w:rPr>
          <w:rFonts w:ascii="Arial" w:hAnsi="Arial" w:cs="Arial"/>
          <w:color w:val="000000" w:themeColor="text1"/>
          <w:sz w:val="24"/>
          <w:szCs w:val="24"/>
        </w:rPr>
        <w:t xml:space="preserve"> </w:t>
      </w:r>
      <w:r w:rsidR="00A428E2" w:rsidRPr="00C35DEE">
        <w:rPr>
          <w:rFonts w:ascii="Arial" w:hAnsi="Arial" w:cs="Arial"/>
          <w:color w:val="000000" w:themeColor="text1"/>
          <w:sz w:val="24"/>
          <w:szCs w:val="24"/>
        </w:rPr>
        <w:t>care service plan</w:t>
      </w:r>
      <w:r w:rsidR="00D15351" w:rsidRPr="00C35DEE">
        <w:rPr>
          <w:rFonts w:ascii="Arial" w:hAnsi="Arial" w:cs="Arial"/>
          <w:color w:val="000000" w:themeColor="text1"/>
          <w:sz w:val="24"/>
          <w:szCs w:val="24"/>
        </w:rPr>
        <w:t xml:space="preserve"> </w:t>
      </w:r>
      <w:r w:rsidR="00625D62" w:rsidRPr="00C35DEE">
        <w:rPr>
          <w:rFonts w:ascii="Arial" w:hAnsi="Arial" w:cs="Arial"/>
          <w:color w:val="000000" w:themeColor="text1"/>
          <w:sz w:val="24"/>
          <w:szCs w:val="24"/>
        </w:rPr>
        <w:t>or</w:t>
      </w:r>
      <w:r w:rsidR="00D15351" w:rsidRPr="00C35DEE">
        <w:rPr>
          <w:rFonts w:ascii="Arial" w:hAnsi="Arial" w:cs="Arial"/>
          <w:color w:val="000000" w:themeColor="text1"/>
          <w:sz w:val="24"/>
          <w:szCs w:val="24"/>
        </w:rPr>
        <w:t xml:space="preserve"> </w:t>
      </w:r>
      <w:r w:rsidR="00A428E2" w:rsidRPr="00C35DEE">
        <w:rPr>
          <w:rFonts w:ascii="Arial" w:hAnsi="Arial" w:cs="Arial"/>
          <w:color w:val="000000" w:themeColor="text1"/>
          <w:sz w:val="24"/>
          <w:szCs w:val="24"/>
        </w:rPr>
        <w:t xml:space="preserve">specialized health </w:t>
      </w:r>
      <w:r w:rsidR="00313C4F" w:rsidRPr="00C35DEE">
        <w:rPr>
          <w:rFonts w:ascii="Arial" w:hAnsi="Arial" w:cs="Arial"/>
          <w:color w:val="000000" w:themeColor="text1"/>
          <w:sz w:val="24"/>
          <w:szCs w:val="24"/>
        </w:rPr>
        <w:t>insurer</w:t>
      </w:r>
      <w:r w:rsidR="00D15351" w:rsidRPr="00C35DEE">
        <w:rPr>
          <w:rFonts w:ascii="Arial" w:hAnsi="Arial" w:cs="Arial"/>
          <w:color w:val="000000" w:themeColor="text1"/>
          <w:sz w:val="24"/>
          <w:szCs w:val="24"/>
        </w:rPr>
        <w:t>,</w:t>
      </w:r>
      <w:r w:rsidR="00AC07E6" w:rsidRPr="00C35DEE">
        <w:rPr>
          <w:rFonts w:ascii="Arial" w:hAnsi="Arial" w:cs="Arial"/>
          <w:color w:val="000000" w:themeColor="text1"/>
          <w:sz w:val="24"/>
          <w:szCs w:val="24"/>
        </w:rPr>
        <w:t xml:space="preserve"> to annually report specified rate information on premiums, cost sharing, benefits, enrollment, and trend factors for products in the individual and small group markets </w:t>
      </w:r>
      <w:r w:rsidR="00AC07E6" w:rsidRPr="00C35DEE">
        <w:rPr>
          <w:rFonts w:ascii="Arial" w:hAnsi="Arial" w:cs="Arial"/>
          <w:color w:val="000000" w:themeColor="text1"/>
          <w:sz w:val="24"/>
          <w:szCs w:val="24"/>
          <w:shd w:val="clear" w:color="auto" w:fill="FFFFFF"/>
        </w:rPr>
        <w:t>for all grandfathered and non</w:t>
      </w:r>
      <w:r w:rsidR="00923EE3" w:rsidRPr="00C35DEE">
        <w:rPr>
          <w:rFonts w:ascii="Arial" w:hAnsi="Arial" w:cs="Arial"/>
          <w:color w:val="000000" w:themeColor="text1"/>
          <w:sz w:val="24"/>
          <w:szCs w:val="24"/>
          <w:shd w:val="clear" w:color="auto" w:fill="FFFFFF"/>
        </w:rPr>
        <w:t>-</w:t>
      </w:r>
      <w:r w:rsidR="00AC07E6" w:rsidRPr="00C35DEE">
        <w:rPr>
          <w:rFonts w:ascii="Arial" w:hAnsi="Arial" w:cs="Arial"/>
          <w:color w:val="000000" w:themeColor="text1"/>
          <w:sz w:val="24"/>
          <w:szCs w:val="24"/>
          <w:shd w:val="clear" w:color="auto" w:fill="FFFFFF"/>
        </w:rPr>
        <w:t>grandfathered products</w:t>
      </w:r>
      <w:r w:rsidR="00BF54A0" w:rsidRPr="00C35DEE">
        <w:rPr>
          <w:rFonts w:ascii="Arial" w:hAnsi="Arial" w:cs="Arial"/>
          <w:color w:val="000000" w:themeColor="text1"/>
          <w:sz w:val="24"/>
          <w:szCs w:val="24"/>
          <w:shd w:val="clear" w:color="auto" w:fill="FFFFFF"/>
        </w:rPr>
        <w:t>.</w:t>
      </w:r>
    </w:p>
    <w:p w14:paraId="672D5133" w14:textId="77777777" w:rsidR="00156437" w:rsidRPr="00C35DEE" w:rsidRDefault="00CA4EF6" w:rsidP="00BE7140">
      <w:pPr>
        <w:pStyle w:val="CM23"/>
        <w:spacing w:after="242" w:line="276" w:lineRule="atLeast"/>
        <w:rPr>
          <w:color w:val="000000" w:themeColor="text1"/>
          <w:u w:val="single"/>
        </w:rPr>
      </w:pPr>
      <w:r w:rsidRPr="00C35DEE">
        <w:rPr>
          <w:b/>
          <w:bCs/>
          <w:color w:val="000000" w:themeColor="text1"/>
          <w:u w:val="single"/>
        </w:rPr>
        <w:t xml:space="preserve">Section II:  </w:t>
      </w:r>
      <w:r w:rsidR="00753FB1" w:rsidRPr="00C35DEE">
        <w:rPr>
          <w:b/>
          <w:bCs/>
          <w:color w:val="000000" w:themeColor="text1"/>
          <w:u w:val="single"/>
        </w:rPr>
        <w:t>Basis and S</w:t>
      </w:r>
      <w:r w:rsidR="00156437" w:rsidRPr="00C35DEE">
        <w:rPr>
          <w:b/>
          <w:bCs/>
          <w:color w:val="000000" w:themeColor="text1"/>
          <w:u w:val="single"/>
        </w:rPr>
        <w:t xml:space="preserve">cope. </w:t>
      </w:r>
    </w:p>
    <w:p w14:paraId="5090EE5D" w14:textId="77777777" w:rsidR="00E853E3" w:rsidRPr="00C35DEE" w:rsidRDefault="0026017F" w:rsidP="00D03139">
      <w:pPr>
        <w:pStyle w:val="Default"/>
        <w:numPr>
          <w:ilvl w:val="0"/>
          <w:numId w:val="11"/>
        </w:numPr>
        <w:spacing w:after="158"/>
        <w:rPr>
          <w:color w:val="000000" w:themeColor="text1"/>
        </w:rPr>
      </w:pPr>
      <w:r w:rsidRPr="00C35DEE">
        <w:rPr>
          <w:color w:val="000000" w:themeColor="text1"/>
        </w:rPr>
        <w:t>Basis. This document</w:t>
      </w:r>
      <w:r w:rsidR="00156437" w:rsidRPr="00C35DEE">
        <w:rPr>
          <w:color w:val="000000" w:themeColor="text1"/>
        </w:rPr>
        <w:t xml:space="preserve"> implements Health and Safety Code section </w:t>
      </w:r>
      <w:r w:rsidR="003873A5" w:rsidRPr="00C35DEE">
        <w:rPr>
          <w:color w:val="000000" w:themeColor="text1"/>
          <w:bdr w:val="none" w:sz="0" w:space="0" w:color="auto" w:frame="1"/>
          <w:lang w:val="en"/>
        </w:rPr>
        <w:t>13</w:t>
      </w:r>
      <w:r w:rsidR="00625D62" w:rsidRPr="00C35DEE">
        <w:rPr>
          <w:color w:val="000000" w:themeColor="text1"/>
          <w:bdr w:val="none" w:sz="0" w:space="0" w:color="auto" w:frame="1"/>
          <w:lang w:val="en"/>
        </w:rPr>
        <w:t>85</w:t>
      </w:r>
      <w:r w:rsidR="003873A5" w:rsidRPr="00C35DEE">
        <w:rPr>
          <w:color w:val="000000" w:themeColor="text1"/>
          <w:bdr w:val="none" w:sz="0" w:space="0" w:color="auto" w:frame="1"/>
          <w:lang w:val="en"/>
        </w:rPr>
        <w:t>.</w:t>
      </w:r>
      <w:r w:rsidR="003E5C84" w:rsidRPr="00C35DEE">
        <w:rPr>
          <w:color w:val="000000" w:themeColor="text1"/>
          <w:bdr w:val="none" w:sz="0" w:space="0" w:color="auto" w:frame="1"/>
          <w:lang w:val="en"/>
        </w:rPr>
        <w:t>043</w:t>
      </w:r>
      <w:r w:rsidR="003873A5" w:rsidRPr="00C35DEE">
        <w:rPr>
          <w:color w:val="000000" w:themeColor="text1"/>
          <w:bdr w:val="none" w:sz="0" w:space="0" w:color="auto" w:frame="1"/>
          <w:lang w:val="en"/>
        </w:rPr>
        <w:t xml:space="preserve">, </w:t>
      </w:r>
      <w:r w:rsidR="009A1D26" w:rsidRPr="00C35DEE">
        <w:rPr>
          <w:color w:val="000000" w:themeColor="text1"/>
        </w:rPr>
        <w:t>relating</w:t>
      </w:r>
      <w:r w:rsidR="003873A5" w:rsidRPr="00C35DEE">
        <w:rPr>
          <w:color w:val="000000" w:themeColor="text1"/>
        </w:rPr>
        <w:t xml:space="preserve"> to </w:t>
      </w:r>
      <w:r w:rsidR="003E5C84" w:rsidRPr="00C35DEE">
        <w:rPr>
          <w:color w:val="000000" w:themeColor="text1"/>
        </w:rPr>
        <w:t>individual and small group</w:t>
      </w:r>
      <w:r w:rsidR="003873A5" w:rsidRPr="00C35DEE">
        <w:rPr>
          <w:color w:val="000000" w:themeColor="text1"/>
        </w:rPr>
        <w:t xml:space="preserve"> hea</w:t>
      </w:r>
      <w:r w:rsidR="001320E4" w:rsidRPr="00C35DEE">
        <w:rPr>
          <w:color w:val="000000" w:themeColor="text1"/>
        </w:rPr>
        <w:t xml:space="preserve">lth care service plan contracts, and </w:t>
      </w:r>
      <w:r w:rsidR="008C59C0" w:rsidRPr="00C35DEE">
        <w:rPr>
          <w:color w:val="000000" w:themeColor="text1"/>
        </w:rPr>
        <w:t>Insurance Code section 10181.</w:t>
      </w:r>
      <w:r w:rsidR="003E5C84" w:rsidRPr="00C35DEE">
        <w:rPr>
          <w:color w:val="000000" w:themeColor="text1"/>
        </w:rPr>
        <w:t>46</w:t>
      </w:r>
      <w:r w:rsidR="008C59C0" w:rsidRPr="00C35DEE">
        <w:rPr>
          <w:color w:val="000000" w:themeColor="text1"/>
        </w:rPr>
        <w:t xml:space="preserve"> relating to </w:t>
      </w:r>
      <w:r w:rsidR="003E5C84" w:rsidRPr="00C35DEE">
        <w:rPr>
          <w:color w:val="000000" w:themeColor="text1"/>
        </w:rPr>
        <w:t>individual and small group</w:t>
      </w:r>
      <w:r w:rsidR="008C59C0" w:rsidRPr="00C35DEE">
        <w:rPr>
          <w:color w:val="000000" w:themeColor="text1"/>
        </w:rPr>
        <w:t xml:space="preserve"> health insurance policies.  </w:t>
      </w:r>
    </w:p>
    <w:p w14:paraId="655FF175" w14:textId="33416C26" w:rsidR="000C32E1" w:rsidRPr="00C35DEE" w:rsidRDefault="00156437" w:rsidP="000C32E1">
      <w:pPr>
        <w:pStyle w:val="Default"/>
        <w:numPr>
          <w:ilvl w:val="0"/>
          <w:numId w:val="11"/>
        </w:numPr>
        <w:spacing w:before="360" w:after="158"/>
        <w:rPr>
          <w:color w:val="000000" w:themeColor="text1"/>
        </w:rPr>
      </w:pPr>
      <w:r w:rsidRPr="00C35DEE">
        <w:rPr>
          <w:color w:val="000000" w:themeColor="text1"/>
        </w:rPr>
        <w:t>S</w:t>
      </w:r>
      <w:r w:rsidR="00347141" w:rsidRPr="00C35DEE">
        <w:rPr>
          <w:color w:val="000000" w:themeColor="text1"/>
        </w:rPr>
        <w:t>cope. T</w:t>
      </w:r>
      <w:r w:rsidR="0026017F" w:rsidRPr="00C35DEE">
        <w:rPr>
          <w:color w:val="000000" w:themeColor="text1"/>
        </w:rPr>
        <w:t>his document</w:t>
      </w:r>
      <w:r w:rsidRPr="00C35DEE">
        <w:rPr>
          <w:color w:val="000000" w:themeColor="text1"/>
        </w:rPr>
        <w:t xml:space="preserve"> e</w:t>
      </w:r>
      <w:r w:rsidR="00347141" w:rsidRPr="00C35DEE">
        <w:rPr>
          <w:color w:val="000000" w:themeColor="text1"/>
        </w:rPr>
        <w:t xml:space="preserve">stablishes the requirements for </w:t>
      </w:r>
      <w:r w:rsidR="003E5C84" w:rsidRPr="00C35DEE">
        <w:rPr>
          <w:color w:val="000000" w:themeColor="text1"/>
        </w:rPr>
        <w:t>individual and small</w:t>
      </w:r>
      <w:r w:rsidR="00347141" w:rsidRPr="00C35DEE">
        <w:rPr>
          <w:color w:val="000000" w:themeColor="text1"/>
        </w:rPr>
        <w:t xml:space="preserve"> group </w:t>
      </w:r>
      <w:r w:rsidRPr="00C35DEE">
        <w:rPr>
          <w:color w:val="000000" w:themeColor="text1"/>
        </w:rPr>
        <w:t>health care serv</w:t>
      </w:r>
      <w:r w:rsidR="00347141" w:rsidRPr="00C35DEE">
        <w:rPr>
          <w:color w:val="000000" w:themeColor="text1"/>
        </w:rPr>
        <w:t>ice plan filing requirements</w:t>
      </w:r>
      <w:r w:rsidR="006E6673" w:rsidRPr="00C35DEE">
        <w:rPr>
          <w:color w:val="000000" w:themeColor="text1"/>
        </w:rPr>
        <w:t xml:space="preserve"> to ensure consistent and appropriate implementation of the Health and Safety Code section </w:t>
      </w:r>
      <w:r w:rsidR="006E6673" w:rsidRPr="00C35DEE">
        <w:rPr>
          <w:color w:val="000000" w:themeColor="text1"/>
          <w:bdr w:val="none" w:sz="0" w:space="0" w:color="auto" w:frame="1"/>
          <w:lang w:val="en"/>
        </w:rPr>
        <w:t>13</w:t>
      </w:r>
      <w:r w:rsidR="00625D62" w:rsidRPr="00C35DEE">
        <w:rPr>
          <w:color w:val="000000" w:themeColor="text1"/>
          <w:bdr w:val="none" w:sz="0" w:space="0" w:color="auto" w:frame="1"/>
          <w:lang w:val="en"/>
        </w:rPr>
        <w:t>85</w:t>
      </w:r>
      <w:r w:rsidR="006E6673" w:rsidRPr="00C35DEE">
        <w:rPr>
          <w:color w:val="000000" w:themeColor="text1"/>
          <w:bdr w:val="none" w:sz="0" w:space="0" w:color="auto" w:frame="1"/>
          <w:lang w:val="en"/>
        </w:rPr>
        <w:t>.</w:t>
      </w:r>
      <w:r w:rsidR="003E5C84" w:rsidRPr="00C35DEE">
        <w:rPr>
          <w:color w:val="000000" w:themeColor="text1"/>
          <w:bdr w:val="none" w:sz="0" w:space="0" w:color="auto" w:frame="1"/>
          <w:lang w:val="en"/>
        </w:rPr>
        <w:t>043</w:t>
      </w:r>
      <w:r w:rsidR="001320E4" w:rsidRPr="00C35DEE">
        <w:rPr>
          <w:color w:val="000000" w:themeColor="text1"/>
        </w:rPr>
        <w:t xml:space="preserve">, and </w:t>
      </w:r>
      <w:r w:rsidR="008C59C0" w:rsidRPr="00C35DEE">
        <w:rPr>
          <w:color w:val="000000" w:themeColor="text1"/>
        </w:rPr>
        <w:t xml:space="preserve">the requirements for </w:t>
      </w:r>
      <w:r w:rsidR="003E5C84" w:rsidRPr="00C35DEE">
        <w:rPr>
          <w:color w:val="000000" w:themeColor="text1"/>
        </w:rPr>
        <w:t>individual and small group</w:t>
      </w:r>
      <w:r w:rsidR="008C59C0" w:rsidRPr="00C35DEE">
        <w:rPr>
          <w:color w:val="000000" w:themeColor="text1"/>
        </w:rPr>
        <w:t xml:space="preserve"> health insurance filings under Insurance Code section</w:t>
      </w:r>
      <w:r w:rsidR="003E5C84" w:rsidRPr="00C35DEE">
        <w:rPr>
          <w:color w:val="000000" w:themeColor="text1"/>
        </w:rPr>
        <w:t xml:space="preserve"> </w:t>
      </w:r>
      <w:r w:rsidR="008C59C0" w:rsidRPr="00C35DEE">
        <w:rPr>
          <w:color w:val="000000" w:themeColor="text1"/>
        </w:rPr>
        <w:t>10181.</w:t>
      </w:r>
      <w:r w:rsidR="003E5C84" w:rsidRPr="00C35DEE">
        <w:rPr>
          <w:color w:val="000000" w:themeColor="text1"/>
        </w:rPr>
        <w:t>46</w:t>
      </w:r>
      <w:r w:rsidR="008C59C0" w:rsidRPr="00C35DEE">
        <w:rPr>
          <w:color w:val="000000" w:themeColor="text1"/>
        </w:rPr>
        <w:t xml:space="preserve">.  </w:t>
      </w:r>
    </w:p>
    <w:p w14:paraId="41844B4E" w14:textId="0B37590D" w:rsidR="00013A78" w:rsidRPr="00C35DEE" w:rsidRDefault="00DC1F03" w:rsidP="000C32E1">
      <w:pPr>
        <w:pStyle w:val="Default"/>
        <w:spacing w:before="360" w:after="240"/>
        <w:rPr>
          <w:color w:val="000000" w:themeColor="text1"/>
        </w:rPr>
      </w:pPr>
      <w:r w:rsidRPr="00C35DEE">
        <w:rPr>
          <w:color w:val="000000" w:themeColor="text1"/>
        </w:rPr>
        <w:t xml:space="preserve">Additional guidance may be forthcoming.  </w:t>
      </w:r>
    </w:p>
    <w:p w14:paraId="0B49CC8D" w14:textId="77777777" w:rsidR="00347141" w:rsidRPr="00C35DEE" w:rsidRDefault="00CA4EF6" w:rsidP="000F5F7E">
      <w:pPr>
        <w:spacing w:after="240" w:line="240" w:lineRule="auto"/>
        <w:rPr>
          <w:rFonts w:ascii="Arial" w:hAnsi="Arial" w:cs="Arial"/>
          <w:color w:val="000000" w:themeColor="text1"/>
          <w:sz w:val="24"/>
          <w:szCs w:val="24"/>
        </w:rPr>
      </w:pPr>
      <w:r w:rsidRPr="00C35DEE">
        <w:rPr>
          <w:rFonts w:ascii="Arial" w:hAnsi="Arial" w:cs="Arial"/>
          <w:b/>
          <w:bCs/>
          <w:color w:val="000000" w:themeColor="text1"/>
          <w:sz w:val="24"/>
          <w:szCs w:val="24"/>
          <w:u w:val="single"/>
        </w:rPr>
        <w:t xml:space="preserve">Section III:  </w:t>
      </w:r>
      <w:r w:rsidR="00347141" w:rsidRPr="00C35DEE">
        <w:rPr>
          <w:rFonts w:ascii="Arial" w:hAnsi="Arial" w:cs="Arial"/>
          <w:b/>
          <w:bCs/>
          <w:color w:val="000000" w:themeColor="text1"/>
          <w:sz w:val="24"/>
          <w:szCs w:val="24"/>
          <w:u w:val="single"/>
        </w:rPr>
        <w:t xml:space="preserve">Definitions. </w:t>
      </w:r>
    </w:p>
    <w:p w14:paraId="2938EF34" w14:textId="77777777" w:rsidR="003873A5" w:rsidRPr="00C35DEE" w:rsidRDefault="0026017F" w:rsidP="00AA19DA">
      <w:pPr>
        <w:spacing w:after="240"/>
        <w:rPr>
          <w:rFonts w:ascii="Arial" w:hAnsi="Arial" w:cs="Arial"/>
          <w:color w:val="000000" w:themeColor="text1"/>
          <w:sz w:val="24"/>
          <w:szCs w:val="24"/>
        </w:rPr>
      </w:pPr>
      <w:r w:rsidRPr="00C35DEE">
        <w:rPr>
          <w:rFonts w:ascii="Arial" w:hAnsi="Arial" w:cs="Arial"/>
          <w:color w:val="000000" w:themeColor="text1"/>
          <w:sz w:val="24"/>
          <w:szCs w:val="24"/>
        </w:rPr>
        <w:t>T</w:t>
      </w:r>
      <w:r w:rsidR="00347141" w:rsidRPr="00C35DEE">
        <w:rPr>
          <w:rFonts w:ascii="Arial" w:hAnsi="Arial" w:cs="Arial"/>
          <w:color w:val="000000" w:themeColor="text1"/>
          <w:sz w:val="24"/>
          <w:szCs w:val="24"/>
        </w:rPr>
        <w:t>he following definitions apply unless otherwise specified.</w:t>
      </w:r>
    </w:p>
    <w:p w14:paraId="083D574A" w14:textId="1BCD7863" w:rsidR="00D52D35" w:rsidRPr="00C35DEE" w:rsidRDefault="005E4D1D" w:rsidP="00AA19DA">
      <w:pPr>
        <w:pStyle w:val="ListParagraph"/>
        <w:numPr>
          <w:ilvl w:val="0"/>
          <w:numId w:val="10"/>
        </w:numPr>
        <w:spacing w:afterLines="100" w:after="240" w:line="240" w:lineRule="auto"/>
        <w:contextualSpacing w:val="0"/>
        <w:textAlignment w:val="baseline"/>
        <w:rPr>
          <w:rFonts w:ascii="Arial" w:eastAsia="Times New Roman" w:hAnsi="Arial" w:cs="Arial"/>
          <w:color w:val="000000" w:themeColor="text1"/>
          <w:sz w:val="24"/>
          <w:szCs w:val="24"/>
          <w:bdr w:val="none" w:sz="0" w:space="0" w:color="auto" w:frame="1"/>
          <w:lang w:val="en"/>
        </w:rPr>
      </w:pPr>
      <w:r w:rsidRPr="00C35DEE">
        <w:rPr>
          <w:rFonts w:ascii="Arial" w:eastAsia="Times New Roman" w:hAnsi="Arial" w:cs="Arial"/>
          <w:color w:val="000000" w:themeColor="text1"/>
          <w:sz w:val="24"/>
          <w:szCs w:val="24"/>
          <w:bdr w:val="none" w:sz="0" w:space="0" w:color="auto" w:frame="1"/>
          <w:lang w:val="en"/>
        </w:rPr>
        <w:t>“</w:t>
      </w:r>
      <w:r w:rsidR="003E5C84" w:rsidRPr="00C35DEE">
        <w:rPr>
          <w:rFonts w:ascii="Arial" w:eastAsia="Times New Roman" w:hAnsi="Arial" w:cs="Arial"/>
          <w:color w:val="000000" w:themeColor="text1"/>
          <w:sz w:val="24"/>
          <w:szCs w:val="24"/>
          <w:bdr w:val="none" w:sz="0" w:space="0" w:color="auto" w:frame="1"/>
          <w:lang w:val="en"/>
        </w:rPr>
        <w:t xml:space="preserve">Average premium weighted </w:t>
      </w:r>
      <w:r w:rsidR="00EF07C8" w:rsidRPr="00C35DEE">
        <w:rPr>
          <w:rFonts w:ascii="Arial" w:eastAsia="Times New Roman" w:hAnsi="Arial" w:cs="Arial"/>
          <w:color w:val="000000" w:themeColor="text1"/>
          <w:sz w:val="24"/>
          <w:szCs w:val="24"/>
          <w:bdr w:val="none" w:sz="0" w:space="0" w:color="auto" w:frame="1"/>
          <w:lang w:val="en"/>
        </w:rPr>
        <w:t xml:space="preserve">by </w:t>
      </w:r>
      <w:r w:rsidR="003E5C84" w:rsidRPr="00C35DEE">
        <w:rPr>
          <w:rFonts w:ascii="Arial" w:eastAsia="Times New Roman" w:hAnsi="Arial" w:cs="Arial"/>
          <w:color w:val="000000" w:themeColor="text1"/>
          <w:sz w:val="24"/>
          <w:szCs w:val="24"/>
          <w:bdr w:val="none" w:sz="0" w:space="0" w:color="auto" w:frame="1"/>
          <w:lang w:val="en"/>
        </w:rPr>
        <w:t>enrollment</w:t>
      </w:r>
      <w:r w:rsidRPr="00C35DEE">
        <w:rPr>
          <w:rFonts w:ascii="Arial" w:eastAsia="Times New Roman" w:hAnsi="Arial" w:cs="Arial"/>
          <w:color w:val="000000" w:themeColor="text1"/>
          <w:sz w:val="24"/>
          <w:szCs w:val="24"/>
          <w:bdr w:val="none" w:sz="0" w:space="0" w:color="auto" w:frame="1"/>
          <w:lang w:val="en"/>
        </w:rPr>
        <w:t xml:space="preserve">” </w:t>
      </w:r>
      <w:r w:rsidR="00347141" w:rsidRPr="00C35DEE">
        <w:rPr>
          <w:rFonts w:ascii="Arial" w:eastAsia="Times New Roman" w:hAnsi="Arial" w:cs="Arial"/>
          <w:color w:val="000000" w:themeColor="text1"/>
          <w:sz w:val="24"/>
          <w:szCs w:val="24"/>
          <w:bdr w:val="none" w:sz="0" w:space="0" w:color="auto" w:frame="1"/>
          <w:lang w:val="en"/>
        </w:rPr>
        <w:t xml:space="preserve">means </w:t>
      </w:r>
      <w:r w:rsidR="003E5C84" w:rsidRPr="00C35DEE">
        <w:rPr>
          <w:rFonts w:ascii="Arial" w:eastAsia="Times New Roman" w:hAnsi="Arial" w:cs="Arial"/>
          <w:color w:val="000000" w:themeColor="text1"/>
          <w:sz w:val="24"/>
          <w:szCs w:val="24"/>
          <w:bdr w:val="none" w:sz="0" w:space="0" w:color="auto" w:frame="1"/>
          <w:lang w:val="en"/>
        </w:rPr>
        <w:t xml:space="preserve">the following: (1) For </w:t>
      </w:r>
      <w:r w:rsidR="001D59F8" w:rsidRPr="00C35DEE">
        <w:rPr>
          <w:rFonts w:ascii="Arial" w:eastAsia="Times New Roman" w:hAnsi="Arial" w:cs="Arial"/>
          <w:color w:val="000000" w:themeColor="text1"/>
          <w:sz w:val="24"/>
          <w:szCs w:val="24"/>
          <w:bdr w:val="none" w:sz="0" w:space="0" w:color="auto" w:frame="1"/>
          <w:lang w:val="en"/>
        </w:rPr>
        <w:t xml:space="preserve">the </w:t>
      </w:r>
      <w:r w:rsidR="001D59F8" w:rsidRPr="00C35DEE">
        <w:rPr>
          <w:rFonts w:ascii="Arial" w:hAnsi="Arial" w:cs="Arial"/>
          <w:color w:val="333333"/>
          <w:sz w:val="24"/>
          <w:szCs w:val="24"/>
          <w:shd w:val="clear" w:color="auto" w:fill="FFFFFF"/>
        </w:rPr>
        <w:t>individual</w:t>
      </w:r>
      <w:r w:rsidR="003E5C84" w:rsidRPr="00C35DEE">
        <w:rPr>
          <w:rFonts w:ascii="Arial" w:hAnsi="Arial" w:cs="Arial"/>
          <w:color w:val="333333"/>
          <w:sz w:val="24"/>
          <w:szCs w:val="24"/>
          <w:shd w:val="clear" w:color="auto" w:fill="FFFFFF"/>
        </w:rPr>
        <w:t xml:space="preserve"> market, the average premium shall be weighted by the number of individual enrollees in the plan’s individual market during the 12-month period. (2) For the small group market, the average premium shall be weighted by the number of enrollees in each small group benefit design in the plan’s small group market during the 12-month period.</w:t>
      </w:r>
      <w:r w:rsidR="00A811EE" w:rsidRPr="00C35DEE">
        <w:rPr>
          <w:rFonts w:ascii="Arial" w:eastAsia="Times New Roman" w:hAnsi="Arial" w:cs="Arial"/>
          <w:color w:val="000000" w:themeColor="text1"/>
          <w:sz w:val="24"/>
          <w:szCs w:val="24"/>
          <w:bdr w:val="none" w:sz="0" w:space="0" w:color="auto" w:frame="1"/>
          <w:lang w:val="en"/>
        </w:rPr>
        <w:t xml:space="preserve"> </w:t>
      </w:r>
      <w:r w:rsidR="008C59C0" w:rsidRPr="00C35DEE">
        <w:rPr>
          <w:rFonts w:ascii="Arial" w:eastAsia="Times New Roman" w:hAnsi="Arial" w:cs="Arial"/>
          <w:color w:val="000000" w:themeColor="text1"/>
          <w:sz w:val="24"/>
          <w:szCs w:val="24"/>
          <w:bdr w:val="none" w:sz="0" w:space="0" w:color="auto" w:frame="1"/>
          <w:lang w:val="en"/>
        </w:rPr>
        <w:t>(</w:t>
      </w:r>
      <w:r w:rsidR="00B65915" w:rsidRPr="00C35DEE">
        <w:rPr>
          <w:rFonts w:ascii="Arial" w:eastAsia="Times New Roman" w:hAnsi="Arial" w:cs="Arial"/>
          <w:color w:val="000000" w:themeColor="text1"/>
          <w:sz w:val="24"/>
          <w:szCs w:val="24"/>
          <w:bdr w:val="none" w:sz="0" w:space="0" w:color="auto" w:frame="1"/>
          <w:lang w:val="en"/>
        </w:rPr>
        <w:t>H</w:t>
      </w:r>
      <w:r w:rsidR="00856C04" w:rsidRPr="00C35DEE">
        <w:rPr>
          <w:rFonts w:ascii="Arial" w:eastAsia="Times New Roman" w:hAnsi="Arial" w:cs="Arial"/>
          <w:color w:val="000000" w:themeColor="text1"/>
          <w:sz w:val="24"/>
          <w:szCs w:val="24"/>
          <w:bdr w:val="none" w:sz="0" w:space="0" w:color="auto" w:frame="1"/>
          <w:lang w:val="en"/>
        </w:rPr>
        <w:t xml:space="preserve">ealth </w:t>
      </w:r>
      <w:r w:rsidR="00B65915" w:rsidRPr="00C35DEE">
        <w:rPr>
          <w:rFonts w:ascii="Arial" w:eastAsia="Times New Roman" w:hAnsi="Arial" w:cs="Arial"/>
          <w:color w:val="000000" w:themeColor="text1"/>
          <w:sz w:val="24"/>
          <w:szCs w:val="24"/>
          <w:bdr w:val="none" w:sz="0" w:space="0" w:color="auto" w:frame="1"/>
          <w:lang w:val="en"/>
        </w:rPr>
        <w:t>&amp;</w:t>
      </w:r>
      <w:r w:rsidR="00856C04" w:rsidRPr="00C35DEE">
        <w:rPr>
          <w:rFonts w:ascii="Arial" w:eastAsia="Times New Roman" w:hAnsi="Arial" w:cs="Arial"/>
          <w:color w:val="000000" w:themeColor="text1"/>
          <w:sz w:val="24"/>
          <w:szCs w:val="24"/>
          <w:bdr w:val="none" w:sz="0" w:space="0" w:color="auto" w:frame="1"/>
          <w:lang w:val="en"/>
        </w:rPr>
        <w:t xml:space="preserve"> </w:t>
      </w:r>
      <w:proofErr w:type="spellStart"/>
      <w:r w:rsidR="00856C04" w:rsidRPr="00C35DEE">
        <w:rPr>
          <w:rFonts w:ascii="Arial" w:eastAsia="Times New Roman" w:hAnsi="Arial" w:cs="Arial"/>
          <w:color w:val="000000" w:themeColor="text1"/>
          <w:sz w:val="24"/>
          <w:szCs w:val="24"/>
          <w:bdr w:val="none" w:sz="0" w:space="0" w:color="auto" w:frame="1"/>
          <w:lang w:val="en"/>
        </w:rPr>
        <w:t>Saf</w:t>
      </w:r>
      <w:proofErr w:type="spellEnd"/>
      <w:r w:rsidR="00856C04" w:rsidRPr="00C35DEE">
        <w:rPr>
          <w:rFonts w:ascii="Arial" w:eastAsia="Times New Roman" w:hAnsi="Arial" w:cs="Arial"/>
          <w:color w:val="000000" w:themeColor="text1"/>
          <w:sz w:val="24"/>
          <w:szCs w:val="24"/>
          <w:bdr w:val="none" w:sz="0" w:space="0" w:color="auto" w:frame="1"/>
          <w:lang w:val="en"/>
        </w:rPr>
        <w:t>. Code</w:t>
      </w:r>
      <w:r w:rsidR="00B65915" w:rsidRPr="00C35DEE">
        <w:rPr>
          <w:rFonts w:ascii="Arial" w:eastAsia="Times New Roman" w:hAnsi="Arial" w:cs="Arial"/>
          <w:color w:val="000000" w:themeColor="text1"/>
          <w:sz w:val="24"/>
          <w:szCs w:val="24"/>
          <w:bdr w:val="none" w:sz="0" w:space="0" w:color="auto" w:frame="1"/>
          <w:lang w:val="en"/>
        </w:rPr>
        <w:t xml:space="preserve"> § 1385.</w:t>
      </w:r>
      <w:r w:rsidR="00690D45" w:rsidRPr="00C35DEE">
        <w:rPr>
          <w:rFonts w:ascii="Arial" w:eastAsia="Times New Roman" w:hAnsi="Arial" w:cs="Arial"/>
          <w:color w:val="000000" w:themeColor="text1"/>
          <w:sz w:val="24"/>
          <w:szCs w:val="24"/>
          <w:bdr w:val="none" w:sz="0" w:space="0" w:color="auto" w:frame="1"/>
          <w:lang w:val="en"/>
        </w:rPr>
        <w:t>0</w:t>
      </w:r>
      <w:r w:rsidR="001D59F8" w:rsidRPr="00C35DEE">
        <w:rPr>
          <w:rFonts w:ascii="Arial" w:eastAsia="Times New Roman" w:hAnsi="Arial" w:cs="Arial"/>
          <w:color w:val="000000" w:themeColor="text1"/>
          <w:sz w:val="24"/>
          <w:szCs w:val="24"/>
          <w:bdr w:val="none" w:sz="0" w:space="0" w:color="auto" w:frame="1"/>
          <w:lang w:val="en"/>
        </w:rPr>
        <w:t>43</w:t>
      </w:r>
      <w:r w:rsidR="00690D45"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f</w:t>
      </w:r>
      <w:r w:rsidR="00690D45"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1</w:t>
      </w:r>
      <w:r w:rsidR="00690D45" w:rsidRPr="00C35DEE">
        <w:rPr>
          <w:rFonts w:ascii="Arial" w:eastAsia="Times New Roman" w:hAnsi="Arial" w:cs="Arial"/>
          <w:color w:val="000000" w:themeColor="text1"/>
          <w:sz w:val="24"/>
          <w:szCs w:val="24"/>
          <w:bdr w:val="none" w:sz="0" w:space="0" w:color="auto" w:frame="1"/>
          <w:lang w:val="en"/>
        </w:rPr>
        <w:t xml:space="preserve">) &amp; </w:t>
      </w:r>
      <w:r w:rsidR="00856C04" w:rsidRPr="00C35DEE">
        <w:rPr>
          <w:rFonts w:ascii="Arial" w:eastAsia="Times New Roman" w:hAnsi="Arial" w:cs="Arial"/>
          <w:color w:val="000000" w:themeColor="text1"/>
          <w:sz w:val="24"/>
          <w:szCs w:val="24"/>
          <w:bdr w:val="none" w:sz="0" w:space="0" w:color="auto" w:frame="1"/>
          <w:lang w:val="en"/>
        </w:rPr>
        <w:t>Ins. Code</w:t>
      </w:r>
      <w:r w:rsidR="00690D45" w:rsidRPr="00C35DEE">
        <w:rPr>
          <w:rFonts w:ascii="Arial" w:eastAsia="Times New Roman" w:hAnsi="Arial" w:cs="Arial"/>
          <w:color w:val="000000" w:themeColor="text1"/>
          <w:sz w:val="24"/>
          <w:szCs w:val="24"/>
          <w:bdr w:val="none" w:sz="0" w:space="0" w:color="auto" w:frame="1"/>
          <w:lang w:val="en"/>
        </w:rPr>
        <w:t xml:space="preserve"> § 10181</w:t>
      </w:r>
      <w:r w:rsidR="001D59F8" w:rsidRPr="00C35DEE">
        <w:rPr>
          <w:rFonts w:ascii="Arial" w:eastAsia="Times New Roman" w:hAnsi="Arial" w:cs="Arial"/>
          <w:color w:val="000000" w:themeColor="text1"/>
          <w:sz w:val="24"/>
          <w:szCs w:val="24"/>
          <w:bdr w:val="none" w:sz="0" w:space="0" w:color="auto" w:frame="1"/>
          <w:lang w:val="en"/>
        </w:rPr>
        <w:t>.46</w:t>
      </w:r>
      <w:r w:rsidR="00690D45"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f</w:t>
      </w:r>
      <w:r w:rsidR="00690D45"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1</w:t>
      </w:r>
      <w:r w:rsidR="00690D45" w:rsidRPr="00C35DEE">
        <w:rPr>
          <w:rFonts w:ascii="Arial" w:eastAsia="Times New Roman" w:hAnsi="Arial" w:cs="Arial"/>
          <w:color w:val="000000" w:themeColor="text1"/>
          <w:sz w:val="24"/>
          <w:szCs w:val="24"/>
          <w:bdr w:val="none" w:sz="0" w:space="0" w:color="auto" w:frame="1"/>
          <w:lang w:val="en"/>
        </w:rPr>
        <w:t xml:space="preserve">).) </w:t>
      </w:r>
    </w:p>
    <w:p w14:paraId="344A6A9B" w14:textId="77777777" w:rsidR="00D30C7E" w:rsidRPr="00C35DEE" w:rsidRDefault="005E4D1D" w:rsidP="00AA19DA">
      <w:pPr>
        <w:pStyle w:val="ListParagraph"/>
        <w:numPr>
          <w:ilvl w:val="0"/>
          <w:numId w:val="10"/>
        </w:numPr>
        <w:spacing w:afterLines="100" w:after="240" w:line="240" w:lineRule="auto"/>
        <w:contextualSpacing w:val="0"/>
        <w:textAlignment w:val="baseline"/>
        <w:rPr>
          <w:rFonts w:ascii="Arial" w:eastAsia="Times New Roman" w:hAnsi="Arial" w:cs="Arial"/>
          <w:color w:val="000000" w:themeColor="text1"/>
          <w:sz w:val="24"/>
          <w:szCs w:val="24"/>
          <w:bdr w:val="none" w:sz="0" w:space="0" w:color="auto" w:frame="1"/>
          <w:lang w:val="en"/>
        </w:rPr>
      </w:pPr>
      <w:r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Benefit design</w:t>
      </w:r>
      <w:r w:rsidRPr="00C35DEE">
        <w:rPr>
          <w:rFonts w:ascii="Arial" w:eastAsia="Times New Roman" w:hAnsi="Arial" w:cs="Arial"/>
          <w:color w:val="000000" w:themeColor="text1"/>
          <w:sz w:val="24"/>
          <w:szCs w:val="24"/>
          <w:bdr w:val="none" w:sz="0" w:space="0" w:color="auto" w:frame="1"/>
          <w:lang w:val="en"/>
        </w:rPr>
        <w:t xml:space="preserve">” </w:t>
      </w:r>
      <w:r w:rsidR="00D30C7E" w:rsidRPr="00C35DEE">
        <w:rPr>
          <w:rFonts w:ascii="Arial" w:eastAsia="Times New Roman" w:hAnsi="Arial" w:cs="Arial"/>
          <w:color w:val="000000" w:themeColor="text1"/>
          <w:sz w:val="24"/>
          <w:szCs w:val="24"/>
          <w:bdr w:val="none" w:sz="0" w:space="0" w:color="auto" w:frame="1"/>
          <w:lang w:val="en"/>
        </w:rPr>
        <w:t xml:space="preserve">means </w:t>
      </w:r>
      <w:r w:rsidR="001D59F8" w:rsidRPr="00C35DEE">
        <w:rPr>
          <w:rFonts w:ascii="Arial" w:eastAsia="Times New Roman" w:hAnsi="Arial" w:cs="Arial"/>
          <w:color w:val="000000" w:themeColor="text1"/>
          <w:sz w:val="24"/>
          <w:szCs w:val="24"/>
          <w:bdr w:val="none" w:sz="0" w:space="0" w:color="auto" w:frame="1"/>
          <w:lang w:val="en"/>
        </w:rPr>
        <w:t>the cost sharing for covered benefits</w:t>
      </w:r>
      <w:r w:rsidR="00D30C7E" w:rsidRPr="00C35DEE">
        <w:rPr>
          <w:rFonts w:ascii="Arial" w:eastAsia="Times New Roman" w:hAnsi="Arial" w:cs="Arial"/>
          <w:color w:val="000000" w:themeColor="text1"/>
          <w:sz w:val="24"/>
          <w:szCs w:val="24"/>
          <w:bdr w:val="none" w:sz="0" w:space="0" w:color="auto" w:frame="1"/>
          <w:lang w:val="en"/>
        </w:rPr>
        <w:t>.</w:t>
      </w:r>
      <w:r w:rsidR="00577F2C" w:rsidRPr="00C35DEE">
        <w:rPr>
          <w:rFonts w:ascii="Arial" w:eastAsia="Times New Roman" w:hAnsi="Arial" w:cs="Arial"/>
          <w:color w:val="000000" w:themeColor="text1"/>
          <w:sz w:val="24"/>
          <w:szCs w:val="24"/>
          <w:bdr w:val="none" w:sz="0" w:space="0" w:color="auto" w:frame="1"/>
          <w:lang w:val="en"/>
        </w:rPr>
        <w:t xml:space="preserve"> </w:t>
      </w:r>
      <w:r w:rsidR="00B65915" w:rsidRPr="00C35DEE">
        <w:rPr>
          <w:rFonts w:ascii="Arial" w:eastAsia="Times New Roman" w:hAnsi="Arial" w:cs="Arial"/>
          <w:color w:val="000000" w:themeColor="text1"/>
          <w:sz w:val="24"/>
          <w:szCs w:val="24"/>
          <w:bdr w:val="none" w:sz="0" w:space="0" w:color="auto" w:frame="1"/>
          <w:lang w:val="en"/>
        </w:rPr>
        <w:t>(H</w:t>
      </w:r>
      <w:r w:rsidR="00856C04" w:rsidRPr="00C35DEE">
        <w:rPr>
          <w:rFonts w:ascii="Arial" w:eastAsia="Times New Roman" w:hAnsi="Arial" w:cs="Arial"/>
          <w:color w:val="000000" w:themeColor="text1"/>
          <w:sz w:val="24"/>
          <w:szCs w:val="24"/>
          <w:bdr w:val="none" w:sz="0" w:space="0" w:color="auto" w:frame="1"/>
          <w:lang w:val="en"/>
        </w:rPr>
        <w:t xml:space="preserve">ealth </w:t>
      </w:r>
      <w:r w:rsidR="00B65915" w:rsidRPr="00C35DEE">
        <w:rPr>
          <w:rFonts w:ascii="Arial" w:eastAsia="Times New Roman" w:hAnsi="Arial" w:cs="Arial"/>
          <w:color w:val="000000" w:themeColor="text1"/>
          <w:sz w:val="24"/>
          <w:szCs w:val="24"/>
          <w:bdr w:val="none" w:sz="0" w:space="0" w:color="auto" w:frame="1"/>
          <w:lang w:val="en"/>
        </w:rPr>
        <w:t>&amp;</w:t>
      </w:r>
      <w:r w:rsidR="00856C04" w:rsidRPr="00C35DEE">
        <w:rPr>
          <w:rFonts w:ascii="Arial" w:eastAsia="Times New Roman" w:hAnsi="Arial" w:cs="Arial"/>
          <w:color w:val="000000" w:themeColor="text1"/>
          <w:sz w:val="24"/>
          <w:szCs w:val="24"/>
          <w:bdr w:val="none" w:sz="0" w:space="0" w:color="auto" w:frame="1"/>
          <w:lang w:val="en"/>
        </w:rPr>
        <w:t xml:space="preserve"> </w:t>
      </w:r>
      <w:proofErr w:type="spellStart"/>
      <w:r w:rsidR="00856C04" w:rsidRPr="00C35DEE">
        <w:rPr>
          <w:rFonts w:ascii="Arial" w:eastAsia="Times New Roman" w:hAnsi="Arial" w:cs="Arial"/>
          <w:color w:val="000000" w:themeColor="text1"/>
          <w:sz w:val="24"/>
          <w:szCs w:val="24"/>
          <w:bdr w:val="none" w:sz="0" w:space="0" w:color="auto" w:frame="1"/>
          <w:lang w:val="en"/>
        </w:rPr>
        <w:t>Saf</w:t>
      </w:r>
      <w:proofErr w:type="spellEnd"/>
      <w:r w:rsidR="00856C04" w:rsidRPr="00C35DEE">
        <w:rPr>
          <w:rFonts w:ascii="Arial" w:eastAsia="Times New Roman" w:hAnsi="Arial" w:cs="Arial"/>
          <w:color w:val="000000" w:themeColor="text1"/>
          <w:sz w:val="24"/>
          <w:szCs w:val="24"/>
          <w:bdr w:val="none" w:sz="0" w:space="0" w:color="auto" w:frame="1"/>
          <w:lang w:val="en"/>
        </w:rPr>
        <w:t>. Code</w:t>
      </w:r>
      <w:r w:rsidR="00B65915" w:rsidRPr="00C35DEE">
        <w:rPr>
          <w:rFonts w:ascii="Arial" w:eastAsia="Times New Roman" w:hAnsi="Arial" w:cs="Arial"/>
          <w:color w:val="000000" w:themeColor="text1"/>
          <w:sz w:val="24"/>
          <w:szCs w:val="24"/>
          <w:bdr w:val="none" w:sz="0" w:space="0" w:color="auto" w:frame="1"/>
          <w:lang w:val="en"/>
        </w:rPr>
        <w:t xml:space="preserve"> § 1385.0</w:t>
      </w:r>
      <w:r w:rsidR="001D59F8" w:rsidRPr="00C35DEE">
        <w:rPr>
          <w:rFonts w:ascii="Arial" w:eastAsia="Times New Roman" w:hAnsi="Arial" w:cs="Arial"/>
          <w:color w:val="000000" w:themeColor="text1"/>
          <w:sz w:val="24"/>
          <w:szCs w:val="24"/>
          <w:bdr w:val="none" w:sz="0" w:space="0" w:color="auto" w:frame="1"/>
          <w:lang w:val="en"/>
        </w:rPr>
        <w:t>43</w:t>
      </w:r>
      <w:r w:rsidR="00B65915"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f</w:t>
      </w:r>
      <w:r w:rsidR="00B65915"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2</w:t>
      </w:r>
      <w:r w:rsidR="00B65915" w:rsidRPr="00C35DEE">
        <w:rPr>
          <w:rFonts w:ascii="Arial" w:eastAsia="Times New Roman" w:hAnsi="Arial" w:cs="Arial"/>
          <w:color w:val="000000" w:themeColor="text1"/>
          <w:sz w:val="24"/>
          <w:szCs w:val="24"/>
          <w:bdr w:val="none" w:sz="0" w:space="0" w:color="auto" w:frame="1"/>
          <w:lang w:val="en"/>
        </w:rPr>
        <w:t xml:space="preserve">) &amp; </w:t>
      </w:r>
      <w:r w:rsidR="00856C04" w:rsidRPr="00C35DEE">
        <w:rPr>
          <w:rFonts w:ascii="Arial" w:eastAsia="Times New Roman" w:hAnsi="Arial" w:cs="Arial"/>
          <w:color w:val="000000" w:themeColor="text1"/>
          <w:sz w:val="24"/>
          <w:szCs w:val="24"/>
          <w:bdr w:val="none" w:sz="0" w:space="0" w:color="auto" w:frame="1"/>
          <w:lang w:val="en"/>
        </w:rPr>
        <w:t>Ins. Code</w:t>
      </w:r>
      <w:r w:rsidR="00B65915" w:rsidRPr="00C35DEE">
        <w:rPr>
          <w:rFonts w:ascii="Arial" w:eastAsia="Times New Roman" w:hAnsi="Arial" w:cs="Arial"/>
          <w:color w:val="000000" w:themeColor="text1"/>
          <w:sz w:val="24"/>
          <w:szCs w:val="24"/>
          <w:bdr w:val="none" w:sz="0" w:space="0" w:color="auto" w:frame="1"/>
          <w:lang w:val="en"/>
        </w:rPr>
        <w:t xml:space="preserve"> § 10181</w:t>
      </w:r>
      <w:r w:rsidR="001D59F8" w:rsidRPr="00C35DEE">
        <w:rPr>
          <w:rFonts w:ascii="Arial" w:eastAsia="Times New Roman" w:hAnsi="Arial" w:cs="Arial"/>
          <w:color w:val="000000" w:themeColor="text1"/>
          <w:sz w:val="24"/>
          <w:szCs w:val="24"/>
          <w:bdr w:val="none" w:sz="0" w:space="0" w:color="auto" w:frame="1"/>
          <w:lang w:val="en"/>
        </w:rPr>
        <w:t>.46</w:t>
      </w:r>
      <w:r w:rsidR="00B65915"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f</w:t>
      </w:r>
      <w:r w:rsidR="00B65915"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2</w:t>
      </w:r>
      <w:r w:rsidR="00B65915" w:rsidRPr="00C35DEE">
        <w:rPr>
          <w:rFonts w:ascii="Arial" w:eastAsia="Times New Roman" w:hAnsi="Arial" w:cs="Arial"/>
          <w:color w:val="000000" w:themeColor="text1"/>
          <w:sz w:val="24"/>
          <w:szCs w:val="24"/>
          <w:bdr w:val="none" w:sz="0" w:space="0" w:color="auto" w:frame="1"/>
          <w:lang w:val="en"/>
        </w:rPr>
        <w:t xml:space="preserve">).)  </w:t>
      </w:r>
    </w:p>
    <w:p w14:paraId="25E8830B" w14:textId="77777777" w:rsidR="00D30C7E" w:rsidRPr="00C35DEE" w:rsidRDefault="005E4D1D" w:rsidP="00AA19DA">
      <w:pPr>
        <w:pStyle w:val="ListParagraph"/>
        <w:numPr>
          <w:ilvl w:val="0"/>
          <w:numId w:val="10"/>
        </w:numPr>
        <w:spacing w:afterLines="100" w:after="240" w:line="240" w:lineRule="auto"/>
        <w:contextualSpacing w:val="0"/>
        <w:textAlignment w:val="baseline"/>
        <w:rPr>
          <w:rFonts w:ascii="Arial" w:eastAsia="Times New Roman" w:hAnsi="Arial" w:cs="Arial"/>
          <w:color w:val="000000" w:themeColor="text1"/>
          <w:sz w:val="24"/>
          <w:szCs w:val="24"/>
          <w:lang w:val="en"/>
        </w:rPr>
      </w:pPr>
      <w:r w:rsidRPr="00C35DEE">
        <w:rPr>
          <w:rFonts w:ascii="Arial" w:eastAsia="Times New Roman" w:hAnsi="Arial" w:cs="Arial"/>
          <w:color w:val="000000" w:themeColor="text1"/>
          <w:sz w:val="24"/>
          <w:szCs w:val="24"/>
          <w:bdr w:val="none" w:sz="0" w:space="0" w:color="auto" w:frame="1"/>
          <w:lang w:val="en"/>
        </w:rPr>
        <w:lastRenderedPageBreak/>
        <w:t>“</w:t>
      </w:r>
      <w:r w:rsidR="001D59F8" w:rsidRPr="00C35DEE">
        <w:rPr>
          <w:rFonts w:ascii="Arial" w:eastAsia="Times New Roman" w:hAnsi="Arial" w:cs="Arial"/>
          <w:color w:val="000000" w:themeColor="text1"/>
          <w:sz w:val="24"/>
          <w:szCs w:val="24"/>
          <w:bdr w:val="none" w:sz="0" w:space="0" w:color="auto" w:frame="1"/>
          <w:lang w:val="en"/>
        </w:rPr>
        <w:t>High Deductible</w:t>
      </w:r>
      <w:r w:rsidRPr="00C35DEE">
        <w:rPr>
          <w:rFonts w:ascii="Arial" w:eastAsia="Times New Roman" w:hAnsi="Arial" w:cs="Arial"/>
          <w:color w:val="000000" w:themeColor="text1"/>
          <w:sz w:val="24"/>
          <w:szCs w:val="24"/>
          <w:bdr w:val="none" w:sz="0" w:space="0" w:color="auto" w:frame="1"/>
          <w:lang w:val="en"/>
        </w:rPr>
        <w:t>”</w:t>
      </w:r>
      <w:r w:rsidR="00D30C7E" w:rsidRPr="00C35DEE">
        <w:rPr>
          <w:rFonts w:ascii="Arial" w:eastAsia="Times New Roman" w:hAnsi="Arial" w:cs="Arial"/>
          <w:color w:val="000000" w:themeColor="text1"/>
          <w:sz w:val="24"/>
          <w:szCs w:val="24"/>
          <w:bdr w:val="none" w:sz="0" w:space="0" w:color="auto" w:frame="1"/>
          <w:lang w:val="en"/>
        </w:rPr>
        <w:t xml:space="preserve"> </w:t>
      </w:r>
      <w:r w:rsidR="000A6DF3" w:rsidRPr="00C35DEE">
        <w:rPr>
          <w:rFonts w:ascii="Arial" w:eastAsia="Times New Roman" w:hAnsi="Arial" w:cs="Arial"/>
          <w:color w:val="000000" w:themeColor="text1"/>
          <w:sz w:val="24"/>
          <w:szCs w:val="24"/>
          <w:bdr w:val="none" w:sz="0" w:space="0" w:color="auto" w:frame="1"/>
          <w:lang w:val="en"/>
        </w:rPr>
        <w:t>has the same meaning</w:t>
      </w:r>
      <w:r w:rsidR="00D30C7E" w:rsidRPr="00C35DEE">
        <w:rPr>
          <w:rFonts w:ascii="Arial" w:eastAsia="Times New Roman" w:hAnsi="Arial" w:cs="Arial"/>
          <w:color w:val="000000" w:themeColor="text1"/>
          <w:sz w:val="24"/>
          <w:szCs w:val="24"/>
          <w:bdr w:val="none" w:sz="0" w:space="0" w:color="auto" w:frame="1"/>
          <w:lang w:val="en"/>
        </w:rPr>
        <w:t xml:space="preserve"> </w:t>
      </w:r>
      <w:r w:rsidR="001D59F8" w:rsidRPr="00C35DEE">
        <w:rPr>
          <w:rFonts w:ascii="Arial" w:eastAsia="Times New Roman" w:hAnsi="Arial" w:cs="Arial"/>
          <w:color w:val="000000" w:themeColor="text1"/>
          <w:sz w:val="24"/>
          <w:szCs w:val="24"/>
          <w:bdr w:val="none" w:sz="0" w:space="0" w:color="auto" w:frame="1"/>
          <w:lang w:val="en"/>
        </w:rPr>
        <w:t>as defined in Section 223(c)(2)(A) of Title 26 of the United States Code</w:t>
      </w:r>
      <w:r w:rsidR="00D30C7E" w:rsidRPr="00C35DEE">
        <w:rPr>
          <w:rFonts w:ascii="Arial" w:eastAsia="Times New Roman" w:hAnsi="Arial" w:cs="Arial"/>
          <w:color w:val="000000" w:themeColor="text1"/>
          <w:sz w:val="24"/>
          <w:szCs w:val="24"/>
          <w:bdr w:val="none" w:sz="0" w:space="0" w:color="auto" w:frame="1"/>
          <w:lang w:val="en"/>
        </w:rPr>
        <w:t xml:space="preserve">. </w:t>
      </w:r>
      <w:r w:rsidR="00355DB9"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H</w:t>
      </w:r>
      <w:r w:rsidR="00856C04" w:rsidRPr="00C35DEE">
        <w:rPr>
          <w:rFonts w:ascii="Arial" w:eastAsia="Times New Roman" w:hAnsi="Arial" w:cs="Arial"/>
          <w:color w:val="000000" w:themeColor="text1"/>
          <w:sz w:val="24"/>
          <w:szCs w:val="24"/>
          <w:bdr w:val="none" w:sz="0" w:space="0" w:color="auto" w:frame="1"/>
          <w:lang w:val="en"/>
        </w:rPr>
        <w:t xml:space="preserve">ealth </w:t>
      </w:r>
      <w:r w:rsidR="001D59F8" w:rsidRPr="00C35DEE">
        <w:rPr>
          <w:rFonts w:ascii="Arial" w:eastAsia="Times New Roman" w:hAnsi="Arial" w:cs="Arial"/>
          <w:color w:val="000000" w:themeColor="text1"/>
          <w:sz w:val="24"/>
          <w:szCs w:val="24"/>
          <w:bdr w:val="none" w:sz="0" w:space="0" w:color="auto" w:frame="1"/>
          <w:lang w:val="en"/>
        </w:rPr>
        <w:t>&amp;</w:t>
      </w:r>
      <w:r w:rsidR="00856C04" w:rsidRPr="00C35DEE">
        <w:rPr>
          <w:rFonts w:ascii="Arial" w:eastAsia="Times New Roman" w:hAnsi="Arial" w:cs="Arial"/>
          <w:color w:val="000000" w:themeColor="text1"/>
          <w:sz w:val="24"/>
          <w:szCs w:val="24"/>
          <w:bdr w:val="none" w:sz="0" w:space="0" w:color="auto" w:frame="1"/>
          <w:lang w:val="en"/>
        </w:rPr>
        <w:t xml:space="preserve"> </w:t>
      </w:r>
      <w:proofErr w:type="spellStart"/>
      <w:r w:rsidR="00856C04" w:rsidRPr="00C35DEE">
        <w:rPr>
          <w:rFonts w:ascii="Arial" w:eastAsia="Times New Roman" w:hAnsi="Arial" w:cs="Arial"/>
          <w:color w:val="000000" w:themeColor="text1"/>
          <w:sz w:val="24"/>
          <w:szCs w:val="24"/>
          <w:bdr w:val="none" w:sz="0" w:space="0" w:color="auto" w:frame="1"/>
          <w:lang w:val="en"/>
        </w:rPr>
        <w:t>Saf</w:t>
      </w:r>
      <w:proofErr w:type="spellEnd"/>
      <w:r w:rsidR="00856C04" w:rsidRPr="00C35DEE">
        <w:rPr>
          <w:rFonts w:ascii="Arial" w:eastAsia="Times New Roman" w:hAnsi="Arial" w:cs="Arial"/>
          <w:color w:val="000000" w:themeColor="text1"/>
          <w:sz w:val="24"/>
          <w:szCs w:val="24"/>
          <w:bdr w:val="none" w:sz="0" w:space="0" w:color="auto" w:frame="1"/>
          <w:lang w:val="en"/>
        </w:rPr>
        <w:t>. Code</w:t>
      </w:r>
      <w:r w:rsidR="001D59F8" w:rsidRPr="00C35DEE">
        <w:rPr>
          <w:rFonts w:ascii="Arial" w:eastAsia="Times New Roman" w:hAnsi="Arial" w:cs="Arial"/>
          <w:color w:val="000000" w:themeColor="text1"/>
          <w:sz w:val="24"/>
          <w:szCs w:val="24"/>
          <w:bdr w:val="none" w:sz="0" w:space="0" w:color="auto" w:frame="1"/>
          <w:lang w:val="en"/>
        </w:rPr>
        <w:t xml:space="preserve"> § 1385.043(f)(3) &amp; </w:t>
      </w:r>
      <w:r w:rsidR="00856C04" w:rsidRPr="00C35DEE">
        <w:rPr>
          <w:rFonts w:ascii="Arial" w:eastAsia="Times New Roman" w:hAnsi="Arial" w:cs="Arial"/>
          <w:color w:val="000000" w:themeColor="text1"/>
          <w:sz w:val="24"/>
          <w:szCs w:val="24"/>
          <w:bdr w:val="none" w:sz="0" w:space="0" w:color="auto" w:frame="1"/>
          <w:lang w:val="en"/>
        </w:rPr>
        <w:t>Ins. Code</w:t>
      </w:r>
      <w:r w:rsidR="001D59F8" w:rsidRPr="00C35DEE">
        <w:rPr>
          <w:rFonts w:ascii="Arial" w:eastAsia="Times New Roman" w:hAnsi="Arial" w:cs="Arial"/>
          <w:color w:val="000000" w:themeColor="text1"/>
          <w:sz w:val="24"/>
          <w:szCs w:val="24"/>
          <w:bdr w:val="none" w:sz="0" w:space="0" w:color="auto" w:frame="1"/>
          <w:lang w:val="en"/>
        </w:rPr>
        <w:t xml:space="preserve"> § 10181.46(f)(3).)  </w:t>
      </w:r>
    </w:p>
    <w:p w14:paraId="63F80274" w14:textId="77777777" w:rsidR="00DB3426" w:rsidRPr="00C35DEE" w:rsidRDefault="00313C4F" w:rsidP="00AA19DA">
      <w:pPr>
        <w:pStyle w:val="ListParagraph"/>
        <w:numPr>
          <w:ilvl w:val="0"/>
          <w:numId w:val="10"/>
        </w:numPr>
        <w:spacing w:afterLines="100" w:after="240" w:line="240" w:lineRule="auto"/>
        <w:contextualSpacing w:val="0"/>
        <w:textAlignment w:val="baseline"/>
        <w:rPr>
          <w:rFonts w:ascii="Arial" w:eastAsia="Times New Roman" w:hAnsi="Arial" w:cs="Arial"/>
          <w:color w:val="000000" w:themeColor="text1"/>
          <w:sz w:val="24"/>
          <w:szCs w:val="24"/>
          <w:lang w:val="en"/>
        </w:rPr>
      </w:pPr>
      <w:r w:rsidRPr="00C35DEE">
        <w:rPr>
          <w:rFonts w:ascii="Arial" w:eastAsia="Times New Roman" w:hAnsi="Arial" w:cs="Arial"/>
          <w:color w:val="000000" w:themeColor="text1"/>
          <w:sz w:val="24"/>
          <w:szCs w:val="24"/>
          <w:bdr w:val="none" w:sz="0" w:space="0" w:color="auto" w:frame="1"/>
          <w:lang w:val="en"/>
        </w:rPr>
        <w:t>“</w:t>
      </w:r>
      <w:r w:rsidR="00DB3426" w:rsidRPr="00C35DEE">
        <w:rPr>
          <w:rFonts w:ascii="Arial" w:eastAsia="Times New Roman" w:hAnsi="Arial" w:cs="Arial"/>
          <w:color w:val="000000" w:themeColor="text1"/>
          <w:sz w:val="24"/>
          <w:szCs w:val="24"/>
          <w:bdr w:val="none" w:sz="0" w:space="0" w:color="auto" w:frame="1"/>
          <w:lang w:val="en"/>
        </w:rPr>
        <w:t>Member months</w:t>
      </w:r>
      <w:r w:rsidRPr="00C35DEE">
        <w:rPr>
          <w:rFonts w:ascii="Arial" w:eastAsia="Times New Roman" w:hAnsi="Arial" w:cs="Arial"/>
          <w:color w:val="000000" w:themeColor="text1"/>
          <w:sz w:val="24"/>
          <w:szCs w:val="24"/>
          <w:bdr w:val="none" w:sz="0" w:space="0" w:color="auto" w:frame="1"/>
          <w:lang w:val="en"/>
        </w:rPr>
        <w:t>”</w:t>
      </w:r>
      <w:r w:rsidR="00DB3426" w:rsidRPr="00C35DEE">
        <w:rPr>
          <w:rFonts w:ascii="Arial" w:eastAsia="Times New Roman" w:hAnsi="Arial" w:cs="Arial"/>
          <w:color w:val="000000" w:themeColor="text1"/>
          <w:sz w:val="24"/>
          <w:szCs w:val="24"/>
          <w:bdr w:val="none" w:sz="0" w:space="0" w:color="auto" w:frame="1"/>
          <w:lang w:val="en"/>
        </w:rPr>
        <w:t xml:space="preserve"> means the equivalent of one covered life for which the health plan company has premium revenue in one month. The total annual number of member months is calculated by summing the twelve end-of-month totals of covered lives for the reported year, for each product category. Report the member months as this sum of twelve end-of-month totals for </w:t>
      </w:r>
      <w:r w:rsidRPr="00C35DEE">
        <w:rPr>
          <w:rFonts w:ascii="Arial" w:eastAsia="Times New Roman" w:hAnsi="Arial" w:cs="Arial"/>
          <w:color w:val="000000" w:themeColor="text1"/>
          <w:sz w:val="24"/>
          <w:szCs w:val="24"/>
          <w:bdr w:val="none" w:sz="0" w:space="0" w:color="auto" w:frame="1"/>
          <w:lang w:val="en"/>
        </w:rPr>
        <w:t xml:space="preserve">entire </w:t>
      </w:r>
      <w:r w:rsidR="00DB3426" w:rsidRPr="00C35DEE">
        <w:rPr>
          <w:rFonts w:ascii="Arial" w:eastAsia="Times New Roman" w:hAnsi="Arial" w:cs="Arial"/>
          <w:color w:val="000000" w:themeColor="text1"/>
          <w:sz w:val="24"/>
          <w:szCs w:val="24"/>
          <w:bdr w:val="none" w:sz="0" w:space="0" w:color="auto" w:frame="1"/>
          <w:lang w:val="en"/>
        </w:rPr>
        <w:t>calendar year</w:t>
      </w:r>
      <w:r w:rsidRPr="00C35DEE">
        <w:rPr>
          <w:rFonts w:ascii="Arial" w:eastAsia="Times New Roman" w:hAnsi="Arial" w:cs="Arial"/>
          <w:color w:val="000000" w:themeColor="text1"/>
          <w:sz w:val="24"/>
          <w:szCs w:val="24"/>
          <w:bdr w:val="none" w:sz="0" w:space="0" w:color="auto" w:frame="1"/>
          <w:lang w:val="en"/>
        </w:rPr>
        <w:t xml:space="preserve"> for the reporting year</w:t>
      </w:r>
      <w:r w:rsidR="00DB3426" w:rsidRPr="00C35DEE">
        <w:rPr>
          <w:rFonts w:ascii="Arial" w:eastAsia="Times New Roman" w:hAnsi="Arial" w:cs="Arial"/>
          <w:color w:val="000000" w:themeColor="text1"/>
          <w:sz w:val="24"/>
          <w:szCs w:val="24"/>
          <w:bdr w:val="none" w:sz="0" w:space="0" w:color="auto" w:frame="1"/>
          <w:lang w:val="en"/>
        </w:rPr>
        <w:t>.</w:t>
      </w:r>
    </w:p>
    <w:p w14:paraId="3C830497" w14:textId="77777777" w:rsidR="00895DA6" w:rsidRPr="00C35DEE" w:rsidRDefault="005E4D1D" w:rsidP="00AA19DA">
      <w:pPr>
        <w:pStyle w:val="ListParagraph"/>
        <w:numPr>
          <w:ilvl w:val="0"/>
          <w:numId w:val="10"/>
        </w:numPr>
        <w:spacing w:afterLines="100" w:after="240" w:line="240" w:lineRule="auto"/>
        <w:contextualSpacing w:val="0"/>
        <w:textAlignment w:val="baseline"/>
        <w:rPr>
          <w:rFonts w:ascii="Arial" w:hAnsi="Arial" w:cs="Arial"/>
          <w:color w:val="000000" w:themeColor="text1"/>
          <w:sz w:val="24"/>
          <w:szCs w:val="24"/>
        </w:rPr>
      </w:pPr>
      <w:r w:rsidRPr="00C35DEE">
        <w:rPr>
          <w:rFonts w:ascii="Arial" w:hAnsi="Arial" w:cs="Arial"/>
          <w:color w:val="000000" w:themeColor="text1"/>
          <w:sz w:val="24"/>
          <w:szCs w:val="24"/>
        </w:rPr>
        <w:t>“</w:t>
      </w:r>
      <w:r w:rsidR="001D59F8" w:rsidRPr="00C35DEE">
        <w:rPr>
          <w:rFonts w:ascii="Arial" w:hAnsi="Arial" w:cs="Arial"/>
          <w:color w:val="000000" w:themeColor="text1"/>
          <w:sz w:val="24"/>
          <w:szCs w:val="24"/>
        </w:rPr>
        <w:t>Nonstandard benefit design</w:t>
      </w:r>
      <w:r w:rsidRPr="00C35DEE">
        <w:rPr>
          <w:rFonts w:ascii="Arial" w:hAnsi="Arial" w:cs="Arial"/>
          <w:color w:val="000000" w:themeColor="text1"/>
          <w:sz w:val="24"/>
          <w:szCs w:val="24"/>
        </w:rPr>
        <w:t>”</w:t>
      </w:r>
      <w:r w:rsidR="00895DA6" w:rsidRPr="00C35DEE">
        <w:rPr>
          <w:rFonts w:ascii="Arial" w:hAnsi="Arial" w:cs="Arial"/>
          <w:color w:val="000000" w:themeColor="text1"/>
          <w:sz w:val="24"/>
          <w:szCs w:val="24"/>
        </w:rPr>
        <w:t xml:space="preserve"> </w:t>
      </w:r>
      <w:r w:rsidR="001D59F8" w:rsidRPr="00C35DEE">
        <w:rPr>
          <w:rFonts w:ascii="Arial" w:eastAsia="Times New Roman" w:hAnsi="Arial" w:cs="Arial"/>
          <w:color w:val="000000" w:themeColor="text1"/>
          <w:sz w:val="24"/>
          <w:szCs w:val="24"/>
          <w:bdr w:val="none" w:sz="0" w:space="0" w:color="auto" w:frame="1"/>
          <w:lang w:val="en"/>
        </w:rPr>
        <w:t xml:space="preserve">means a benefit design other than the standard benefit design. </w:t>
      </w:r>
      <w:r w:rsidR="00355DB9" w:rsidRPr="00C35DEE">
        <w:rPr>
          <w:rFonts w:ascii="Arial" w:eastAsia="Times New Roman" w:hAnsi="Arial" w:cs="Arial"/>
          <w:color w:val="000000" w:themeColor="text1"/>
          <w:sz w:val="24"/>
          <w:szCs w:val="24"/>
          <w:bdr w:val="none" w:sz="0" w:space="0" w:color="auto" w:frame="1"/>
          <w:lang w:val="en"/>
        </w:rPr>
        <w:t>(</w:t>
      </w:r>
      <w:r w:rsidR="001D59F8" w:rsidRPr="00C35DEE">
        <w:rPr>
          <w:rFonts w:ascii="Arial" w:eastAsia="Times New Roman" w:hAnsi="Arial" w:cs="Arial"/>
          <w:color w:val="000000" w:themeColor="text1"/>
          <w:sz w:val="24"/>
          <w:szCs w:val="24"/>
          <w:bdr w:val="none" w:sz="0" w:space="0" w:color="auto" w:frame="1"/>
          <w:lang w:val="en"/>
        </w:rPr>
        <w:t>H</w:t>
      </w:r>
      <w:r w:rsidR="00856C04" w:rsidRPr="00C35DEE">
        <w:rPr>
          <w:rFonts w:ascii="Arial" w:eastAsia="Times New Roman" w:hAnsi="Arial" w:cs="Arial"/>
          <w:color w:val="000000" w:themeColor="text1"/>
          <w:sz w:val="24"/>
          <w:szCs w:val="24"/>
          <w:bdr w:val="none" w:sz="0" w:space="0" w:color="auto" w:frame="1"/>
          <w:lang w:val="en"/>
        </w:rPr>
        <w:t xml:space="preserve">ealth </w:t>
      </w:r>
      <w:r w:rsidR="001D59F8" w:rsidRPr="00C35DEE">
        <w:rPr>
          <w:rFonts w:ascii="Arial" w:eastAsia="Times New Roman" w:hAnsi="Arial" w:cs="Arial"/>
          <w:color w:val="000000" w:themeColor="text1"/>
          <w:sz w:val="24"/>
          <w:szCs w:val="24"/>
          <w:bdr w:val="none" w:sz="0" w:space="0" w:color="auto" w:frame="1"/>
          <w:lang w:val="en"/>
        </w:rPr>
        <w:t>&amp;</w:t>
      </w:r>
      <w:r w:rsidR="00856C04" w:rsidRPr="00C35DEE">
        <w:rPr>
          <w:rFonts w:ascii="Arial" w:eastAsia="Times New Roman" w:hAnsi="Arial" w:cs="Arial"/>
          <w:color w:val="000000" w:themeColor="text1"/>
          <w:sz w:val="24"/>
          <w:szCs w:val="24"/>
          <w:bdr w:val="none" w:sz="0" w:space="0" w:color="auto" w:frame="1"/>
          <w:lang w:val="en"/>
        </w:rPr>
        <w:t xml:space="preserve"> </w:t>
      </w:r>
      <w:proofErr w:type="spellStart"/>
      <w:r w:rsidR="00856C04" w:rsidRPr="00C35DEE">
        <w:rPr>
          <w:rFonts w:ascii="Arial" w:eastAsia="Times New Roman" w:hAnsi="Arial" w:cs="Arial"/>
          <w:color w:val="000000" w:themeColor="text1"/>
          <w:sz w:val="24"/>
          <w:szCs w:val="24"/>
          <w:bdr w:val="none" w:sz="0" w:space="0" w:color="auto" w:frame="1"/>
          <w:lang w:val="en"/>
        </w:rPr>
        <w:t>Saf</w:t>
      </w:r>
      <w:proofErr w:type="spellEnd"/>
      <w:r w:rsidR="00856C04" w:rsidRPr="00C35DEE">
        <w:rPr>
          <w:rFonts w:ascii="Arial" w:eastAsia="Times New Roman" w:hAnsi="Arial" w:cs="Arial"/>
          <w:color w:val="000000" w:themeColor="text1"/>
          <w:sz w:val="24"/>
          <w:szCs w:val="24"/>
          <w:bdr w:val="none" w:sz="0" w:space="0" w:color="auto" w:frame="1"/>
          <w:lang w:val="en"/>
        </w:rPr>
        <w:t>. Code</w:t>
      </w:r>
      <w:r w:rsidR="001D59F8" w:rsidRPr="00C35DEE">
        <w:rPr>
          <w:rFonts w:ascii="Arial" w:eastAsia="Times New Roman" w:hAnsi="Arial" w:cs="Arial"/>
          <w:color w:val="000000" w:themeColor="text1"/>
          <w:sz w:val="24"/>
          <w:szCs w:val="24"/>
          <w:bdr w:val="none" w:sz="0" w:space="0" w:color="auto" w:frame="1"/>
          <w:lang w:val="en"/>
        </w:rPr>
        <w:t xml:space="preserve"> § 1385.043(f)(4) &amp; </w:t>
      </w:r>
      <w:r w:rsidR="00856C04" w:rsidRPr="00C35DEE">
        <w:rPr>
          <w:rFonts w:ascii="Arial" w:eastAsia="Times New Roman" w:hAnsi="Arial" w:cs="Arial"/>
          <w:color w:val="000000" w:themeColor="text1"/>
          <w:sz w:val="24"/>
          <w:szCs w:val="24"/>
          <w:bdr w:val="none" w:sz="0" w:space="0" w:color="auto" w:frame="1"/>
          <w:lang w:val="en"/>
        </w:rPr>
        <w:t>Ins. Code</w:t>
      </w:r>
      <w:r w:rsidR="001D59F8" w:rsidRPr="00C35DEE">
        <w:rPr>
          <w:rFonts w:ascii="Arial" w:eastAsia="Times New Roman" w:hAnsi="Arial" w:cs="Arial"/>
          <w:color w:val="000000" w:themeColor="text1"/>
          <w:sz w:val="24"/>
          <w:szCs w:val="24"/>
          <w:bdr w:val="none" w:sz="0" w:space="0" w:color="auto" w:frame="1"/>
          <w:lang w:val="en"/>
        </w:rPr>
        <w:t xml:space="preserve"> § 10181.46(f)(4).) </w:t>
      </w:r>
    </w:p>
    <w:p w14:paraId="0953F6A4" w14:textId="77777777" w:rsidR="00DB3426" w:rsidRPr="00C35DEE" w:rsidRDefault="00313C4F" w:rsidP="00AA19DA">
      <w:pPr>
        <w:pStyle w:val="ListParagraph"/>
        <w:numPr>
          <w:ilvl w:val="0"/>
          <w:numId w:val="10"/>
        </w:numPr>
        <w:spacing w:afterLines="100" w:after="240" w:line="240" w:lineRule="auto"/>
        <w:contextualSpacing w:val="0"/>
        <w:textAlignment w:val="baseline"/>
        <w:rPr>
          <w:rFonts w:ascii="Arial" w:hAnsi="Arial" w:cs="Arial"/>
          <w:color w:val="000000" w:themeColor="text1"/>
          <w:sz w:val="24"/>
          <w:szCs w:val="24"/>
        </w:rPr>
      </w:pPr>
      <w:r w:rsidRPr="00C35DEE">
        <w:rPr>
          <w:rFonts w:ascii="Arial" w:eastAsia="Times New Roman" w:hAnsi="Arial" w:cs="Arial"/>
          <w:color w:val="000000" w:themeColor="text1"/>
          <w:sz w:val="24"/>
          <w:szCs w:val="24"/>
          <w:bdr w:val="none" w:sz="0" w:space="0" w:color="auto" w:frame="1"/>
          <w:lang w:val="en"/>
        </w:rPr>
        <w:t>“</w:t>
      </w:r>
      <w:r w:rsidR="00DB3426" w:rsidRPr="00C35DEE">
        <w:rPr>
          <w:rFonts w:ascii="Arial" w:eastAsia="Times New Roman" w:hAnsi="Arial" w:cs="Arial"/>
          <w:color w:val="000000" w:themeColor="text1"/>
          <w:sz w:val="24"/>
          <w:szCs w:val="24"/>
          <w:bdr w:val="none" w:sz="0" w:space="0" w:color="auto" w:frame="1"/>
          <w:lang w:val="en"/>
        </w:rPr>
        <w:t>Number of enrollees/Covered lives</w:t>
      </w:r>
      <w:r w:rsidRPr="00C35DEE">
        <w:rPr>
          <w:rFonts w:ascii="Arial" w:eastAsia="Times New Roman" w:hAnsi="Arial" w:cs="Arial"/>
          <w:color w:val="000000" w:themeColor="text1"/>
          <w:sz w:val="24"/>
          <w:szCs w:val="24"/>
          <w:bdr w:val="none" w:sz="0" w:space="0" w:color="auto" w:frame="1"/>
          <w:lang w:val="en"/>
        </w:rPr>
        <w:t>”</w:t>
      </w:r>
      <w:r w:rsidR="00DB3426" w:rsidRPr="00C35DEE">
        <w:rPr>
          <w:rFonts w:ascii="Arial" w:eastAsia="Times New Roman" w:hAnsi="Arial" w:cs="Arial"/>
          <w:color w:val="000000" w:themeColor="text1"/>
          <w:sz w:val="24"/>
          <w:szCs w:val="24"/>
          <w:bdr w:val="none" w:sz="0" w:space="0" w:color="auto" w:frame="1"/>
          <w:lang w:val="en"/>
        </w:rPr>
        <w:t xml:space="preserve"> means the number of </w:t>
      </w:r>
      <w:r w:rsidR="00F65616" w:rsidRPr="00C35DEE">
        <w:rPr>
          <w:rFonts w:ascii="Arial" w:eastAsia="Times New Roman" w:hAnsi="Arial" w:cs="Arial"/>
          <w:color w:val="000000" w:themeColor="text1"/>
          <w:sz w:val="24"/>
          <w:szCs w:val="24"/>
          <w:bdr w:val="none" w:sz="0" w:space="0" w:color="auto" w:frame="1"/>
          <w:lang w:val="en"/>
        </w:rPr>
        <w:t>employees</w:t>
      </w:r>
      <w:r w:rsidR="00DB3426" w:rsidRPr="00C35DEE">
        <w:rPr>
          <w:rFonts w:ascii="Arial" w:eastAsia="Times New Roman" w:hAnsi="Arial" w:cs="Arial"/>
          <w:color w:val="000000" w:themeColor="text1"/>
          <w:sz w:val="24"/>
          <w:szCs w:val="24"/>
          <w:bdr w:val="none" w:sz="0" w:space="0" w:color="auto" w:frame="1"/>
          <w:lang w:val="en"/>
        </w:rPr>
        <w:t xml:space="preserve">, </w:t>
      </w:r>
      <w:r w:rsidRPr="00C35DEE">
        <w:rPr>
          <w:rFonts w:ascii="Arial" w:eastAsia="Times New Roman" w:hAnsi="Arial" w:cs="Arial"/>
          <w:color w:val="000000" w:themeColor="text1"/>
          <w:sz w:val="24"/>
          <w:szCs w:val="24"/>
          <w:bdr w:val="none" w:sz="0" w:space="0" w:color="auto" w:frame="1"/>
          <w:lang w:val="en"/>
        </w:rPr>
        <w:t xml:space="preserve">and </w:t>
      </w:r>
      <w:r w:rsidR="00DB3426" w:rsidRPr="00C35DEE">
        <w:rPr>
          <w:rFonts w:ascii="Arial" w:eastAsia="Times New Roman" w:hAnsi="Arial" w:cs="Arial"/>
          <w:color w:val="000000" w:themeColor="text1"/>
          <w:sz w:val="24"/>
          <w:szCs w:val="24"/>
          <w:bdr w:val="none" w:sz="0" w:space="0" w:color="auto" w:frame="1"/>
          <w:lang w:val="en"/>
        </w:rPr>
        <w:t>dependents enrolled (i.e., members or covered lives) during the 12-month reporting period; reasonable approximations are allowed when actual information is not available.</w:t>
      </w:r>
    </w:p>
    <w:p w14:paraId="7529A6A0" w14:textId="0A471C18" w:rsidR="00313C4F" w:rsidRPr="00C35DEE" w:rsidRDefault="00313C4F" w:rsidP="00E75FAA">
      <w:pPr>
        <w:pStyle w:val="ListParagraph"/>
        <w:numPr>
          <w:ilvl w:val="0"/>
          <w:numId w:val="10"/>
        </w:numPr>
        <w:spacing w:afterLines="100" w:after="240" w:line="240" w:lineRule="auto"/>
        <w:contextualSpacing w:val="0"/>
        <w:textAlignment w:val="baseline"/>
        <w:rPr>
          <w:rFonts w:ascii="Arial" w:hAnsi="Arial" w:cs="Arial"/>
          <w:color w:val="000000" w:themeColor="text1"/>
          <w:sz w:val="24"/>
          <w:szCs w:val="24"/>
        </w:rPr>
      </w:pPr>
      <w:r w:rsidRPr="00C35DEE">
        <w:rPr>
          <w:rFonts w:ascii="Arial" w:eastAsia="Times New Roman" w:hAnsi="Arial" w:cs="Arial"/>
          <w:color w:val="000000" w:themeColor="text1"/>
          <w:sz w:val="24"/>
          <w:szCs w:val="24"/>
          <w:bdr w:val="none" w:sz="0" w:space="0" w:color="auto" w:frame="1"/>
          <w:lang w:val="en"/>
        </w:rPr>
        <w:t xml:space="preserve">“Reporting year” </w:t>
      </w:r>
      <w:r w:rsidR="00A23B23" w:rsidRPr="00C35DEE">
        <w:rPr>
          <w:rFonts w:ascii="Arial" w:eastAsia="Times New Roman" w:hAnsi="Arial" w:cs="Arial"/>
          <w:color w:val="000000" w:themeColor="text1"/>
          <w:sz w:val="24"/>
          <w:szCs w:val="24"/>
          <w:bdr w:val="none" w:sz="0" w:space="0" w:color="auto" w:frame="1"/>
          <w:lang w:val="en"/>
        </w:rPr>
        <w:t>is the calendar year that a health plan or health insurer files the AB</w:t>
      </w:r>
      <w:r w:rsidR="00DE0E12">
        <w:rPr>
          <w:rFonts w:ascii="Arial" w:eastAsia="Times New Roman" w:hAnsi="Arial" w:cs="Arial"/>
          <w:color w:val="000000" w:themeColor="text1"/>
          <w:sz w:val="24"/>
          <w:szCs w:val="24"/>
          <w:bdr w:val="none" w:sz="0" w:space="0" w:color="auto" w:frame="1"/>
          <w:lang w:val="en"/>
        </w:rPr>
        <w:t xml:space="preserve"> </w:t>
      </w:r>
      <w:r w:rsidR="00A23B23" w:rsidRPr="00C35DEE">
        <w:rPr>
          <w:rFonts w:ascii="Arial" w:eastAsia="Times New Roman" w:hAnsi="Arial" w:cs="Arial"/>
          <w:color w:val="000000" w:themeColor="text1"/>
          <w:sz w:val="24"/>
          <w:szCs w:val="24"/>
          <w:bdr w:val="none" w:sz="0" w:space="0" w:color="auto" w:frame="1"/>
          <w:lang w:val="en"/>
        </w:rPr>
        <w:t xml:space="preserve">2118 </w:t>
      </w:r>
      <w:r w:rsidR="00E75FAA" w:rsidRPr="00C35DEE">
        <w:rPr>
          <w:rFonts w:ascii="Arial" w:eastAsia="Times New Roman" w:hAnsi="Arial" w:cs="Arial"/>
          <w:color w:val="000000" w:themeColor="text1"/>
          <w:sz w:val="24"/>
          <w:szCs w:val="24"/>
          <w:bdr w:val="none" w:sz="0" w:space="0" w:color="auto" w:frame="1"/>
          <w:lang w:val="en"/>
        </w:rPr>
        <w:t>worksheet</w:t>
      </w:r>
      <w:r w:rsidR="00A23B23" w:rsidRPr="00C35DEE">
        <w:rPr>
          <w:rFonts w:ascii="Arial" w:eastAsia="Times New Roman" w:hAnsi="Arial" w:cs="Arial"/>
          <w:color w:val="000000" w:themeColor="text1"/>
          <w:sz w:val="24"/>
          <w:szCs w:val="24"/>
          <w:bdr w:val="none" w:sz="0" w:space="0" w:color="auto" w:frame="1"/>
          <w:lang w:val="en"/>
        </w:rPr>
        <w:t xml:space="preserve"> with the Department of Managed Health Care o</w:t>
      </w:r>
      <w:r w:rsidR="00C00826" w:rsidRPr="00C35DEE">
        <w:rPr>
          <w:rFonts w:ascii="Arial" w:eastAsia="Times New Roman" w:hAnsi="Arial" w:cs="Arial"/>
          <w:color w:val="000000" w:themeColor="text1"/>
          <w:sz w:val="24"/>
          <w:szCs w:val="24"/>
          <w:bdr w:val="none" w:sz="0" w:space="0" w:color="auto" w:frame="1"/>
          <w:lang w:val="en"/>
        </w:rPr>
        <w:t>r</w:t>
      </w:r>
      <w:r w:rsidR="00A23B23" w:rsidRPr="00C35DEE">
        <w:rPr>
          <w:rFonts w:ascii="Arial" w:eastAsia="Times New Roman" w:hAnsi="Arial" w:cs="Arial"/>
          <w:color w:val="000000" w:themeColor="text1"/>
          <w:sz w:val="24"/>
          <w:szCs w:val="24"/>
          <w:bdr w:val="none" w:sz="0" w:space="0" w:color="auto" w:frame="1"/>
          <w:lang w:val="en"/>
        </w:rPr>
        <w:t xml:space="preserve"> the Department of Insurance.</w:t>
      </w:r>
      <w:r w:rsidR="006056B0" w:rsidRPr="00C35DEE">
        <w:rPr>
          <w:rFonts w:ascii="Arial" w:eastAsia="Times New Roman" w:hAnsi="Arial" w:cs="Arial"/>
          <w:color w:val="000000" w:themeColor="text1"/>
          <w:sz w:val="24"/>
          <w:szCs w:val="24"/>
          <w:bdr w:val="none" w:sz="0" w:space="0" w:color="auto" w:frame="1"/>
          <w:lang w:val="en"/>
        </w:rPr>
        <w:t xml:space="preserve"> </w:t>
      </w:r>
      <w:r w:rsidR="00E75FAA" w:rsidRPr="00C35DEE">
        <w:rPr>
          <w:rFonts w:ascii="Arial" w:eastAsia="Times New Roman" w:hAnsi="Arial" w:cs="Arial"/>
          <w:color w:val="000000" w:themeColor="text1"/>
          <w:sz w:val="24"/>
          <w:szCs w:val="24"/>
          <w:bdr w:val="none" w:sz="0" w:space="0" w:color="auto" w:frame="1"/>
          <w:lang w:val="en"/>
        </w:rPr>
        <w:t>Data for the final quarter of the calendar year should reflect projected estimates as of the filing date.</w:t>
      </w:r>
    </w:p>
    <w:p w14:paraId="59EA390A" w14:textId="2DC45EA0" w:rsidR="00D52D35" w:rsidRPr="00C35DEE" w:rsidRDefault="005E4D1D" w:rsidP="00AA19DA">
      <w:pPr>
        <w:pStyle w:val="ListParagraph"/>
        <w:numPr>
          <w:ilvl w:val="0"/>
          <w:numId w:val="10"/>
        </w:numPr>
        <w:spacing w:afterLines="100" w:after="240" w:line="240" w:lineRule="auto"/>
        <w:contextualSpacing w:val="0"/>
        <w:textAlignment w:val="baseline"/>
        <w:rPr>
          <w:rFonts w:ascii="Arial" w:eastAsia="Times New Roman" w:hAnsi="Arial" w:cs="Arial"/>
          <w:color w:val="000000" w:themeColor="text1"/>
          <w:sz w:val="24"/>
          <w:szCs w:val="24"/>
          <w:lang w:val="en"/>
        </w:rPr>
      </w:pPr>
      <w:r w:rsidRPr="00C35DEE">
        <w:rPr>
          <w:rFonts w:ascii="Arial" w:hAnsi="Arial" w:cs="Arial"/>
          <w:color w:val="000000" w:themeColor="text1"/>
          <w:sz w:val="24"/>
          <w:szCs w:val="24"/>
        </w:rPr>
        <w:t>“</w:t>
      </w:r>
      <w:r w:rsidR="00355DB9" w:rsidRPr="00C35DEE">
        <w:rPr>
          <w:rFonts w:ascii="Arial" w:hAnsi="Arial" w:cs="Arial"/>
          <w:color w:val="000000" w:themeColor="text1"/>
          <w:sz w:val="24"/>
          <w:szCs w:val="24"/>
        </w:rPr>
        <w:t>Share of premium</w:t>
      </w:r>
      <w:r w:rsidRPr="00C35DEE">
        <w:rPr>
          <w:rFonts w:ascii="Arial" w:hAnsi="Arial" w:cs="Arial"/>
          <w:color w:val="000000" w:themeColor="text1"/>
          <w:sz w:val="24"/>
          <w:szCs w:val="24"/>
        </w:rPr>
        <w:t>”</w:t>
      </w:r>
      <w:r w:rsidR="00D52D35" w:rsidRPr="00C35DEE">
        <w:rPr>
          <w:rFonts w:ascii="Arial" w:hAnsi="Arial" w:cs="Arial"/>
          <w:color w:val="000000" w:themeColor="text1"/>
          <w:sz w:val="24"/>
          <w:szCs w:val="24"/>
        </w:rPr>
        <w:t xml:space="preserve"> means</w:t>
      </w:r>
      <w:r w:rsidR="00E75FAA" w:rsidRPr="00C35DEE">
        <w:rPr>
          <w:rFonts w:ascii="Arial" w:hAnsi="Arial" w:cs="Arial"/>
          <w:color w:val="000000" w:themeColor="text1"/>
          <w:sz w:val="24"/>
          <w:szCs w:val="24"/>
        </w:rPr>
        <w:t>,</w:t>
      </w:r>
      <w:r w:rsidR="00D52D35" w:rsidRPr="00C35DEE">
        <w:rPr>
          <w:rFonts w:ascii="Arial" w:hAnsi="Arial" w:cs="Arial"/>
          <w:color w:val="000000" w:themeColor="text1"/>
          <w:sz w:val="24"/>
          <w:szCs w:val="24"/>
        </w:rPr>
        <w:t xml:space="preserve"> </w:t>
      </w:r>
      <w:r w:rsidR="00E75FAA" w:rsidRPr="00C35DEE">
        <w:rPr>
          <w:rFonts w:ascii="Arial" w:hAnsi="Arial" w:cs="Arial"/>
          <w:color w:val="000000" w:themeColor="text1"/>
          <w:sz w:val="24"/>
          <w:szCs w:val="24"/>
        </w:rPr>
        <w:t xml:space="preserve">for the small group market, </w:t>
      </w:r>
      <w:r w:rsidR="00355DB9" w:rsidRPr="00C35DEE">
        <w:rPr>
          <w:rFonts w:ascii="Arial" w:hAnsi="Arial" w:cs="Arial"/>
          <w:color w:val="000000" w:themeColor="text1"/>
          <w:sz w:val="24"/>
          <w:szCs w:val="24"/>
        </w:rPr>
        <w:t>the share of premium paid by the enrollee</w:t>
      </w:r>
      <w:r w:rsidR="00E75FAA" w:rsidRPr="00C35DEE">
        <w:rPr>
          <w:rFonts w:ascii="Arial" w:hAnsi="Arial" w:cs="Arial"/>
          <w:color w:val="000000" w:themeColor="text1"/>
          <w:sz w:val="24"/>
          <w:szCs w:val="24"/>
        </w:rPr>
        <w:t>/</w:t>
      </w:r>
      <w:r w:rsidR="00336B08" w:rsidRPr="00C35DEE">
        <w:rPr>
          <w:rFonts w:ascii="Arial" w:hAnsi="Arial" w:cs="Arial"/>
          <w:color w:val="000000" w:themeColor="text1"/>
          <w:sz w:val="24"/>
          <w:szCs w:val="24"/>
        </w:rPr>
        <w:t>insured on</w:t>
      </w:r>
      <w:r w:rsidR="00355DB9" w:rsidRPr="00C35DEE">
        <w:rPr>
          <w:rFonts w:ascii="Arial" w:hAnsi="Arial" w:cs="Arial"/>
          <w:color w:val="000000" w:themeColor="text1"/>
          <w:sz w:val="24"/>
          <w:szCs w:val="24"/>
        </w:rPr>
        <w:t xml:space="preserve"> behalf of the enrollee</w:t>
      </w:r>
      <w:r w:rsidR="00E75FAA" w:rsidRPr="00C35DEE">
        <w:rPr>
          <w:rFonts w:ascii="Arial" w:hAnsi="Arial" w:cs="Arial"/>
          <w:color w:val="000000" w:themeColor="text1"/>
          <w:sz w:val="24"/>
          <w:szCs w:val="24"/>
        </w:rPr>
        <w:t>/insured</w:t>
      </w:r>
      <w:r w:rsidR="00355DB9" w:rsidRPr="00C35DEE">
        <w:rPr>
          <w:rFonts w:ascii="Arial" w:hAnsi="Arial" w:cs="Arial"/>
          <w:color w:val="000000" w:themeColor="text1"/>
          <w:sz w:val="24"/>
          <w:szCs w:val="24"/>
        </w:rPr>
        <w:t xml:space="preserve"> and any depend</w:t>
      </w:r>
      <w:r w:rsidR="000A6DF3" w:rsidRPr="00C35DEE">
        <w:rPr>
          <w:rFonts w:ascii="Arial" w:hAnsi="Arial" w:cs="Arial"/>
          <w:color w:val="000000" w:themeColor="text1"/>
          <w:sz w:val="24"/>
          <w:szCs w:val="24"/>
        </w:rPr>
        <w:t>ent</w:t>
      </w:r>
      <w:r w:rsidR="00355DB9" w:rsidRPr="00C35DEE">
        <w:rPr>
          <w:rFonts w:ascii="Arial" w:hAnsi="Arial" w:cs="Arial"/>
          <w:color w:val="000000" w:themeColor="text1"/>
          <w:sz w:val="24"/>
          <w:szCs w:val="24"/>
        </w:rPr>
        <w:t xml:space="preserve">, not the </w:t>
      </w:r>
      <w:r w:rsidR="004571E7" w:rsidRPr="00C35DEE">
        <w:rPr>
          <w:rFonts w:ascii="Arial" w:hAnsi="Arial" w:cs="Arial"/>
          <w:color w:val="000000" w:themeColor="text1"/>
          <w:sz w:val="24"/>
          <w:szCs w:val="24"/>
        </w:rPr>
        <w:t>subscriber</w:t>
      </w:r>
      <w:r w:rsidR="00E75FAA" w:rsidRPr="00C35DEE">
        <w:rPr>
          <w:rFonts w:ascii="Arial" w:hAnsi="Arial" w:cs="Arial"/>
          <w:color w:val="000000" w:themeColor="text1"/>
          <w:sz w:val="24"/>
          <w:szCs w:val="24"/>
        </w:rPr>
        <w:t>/employer</w:t>
      </w:r>
      <w:r w:rsidR="00355DB9" w:rsidRPr="00C35DEE">
        <w:rPr>
          <w:rFonts w:ascii="Arial" w:hAnsi="Arial" w:cs="Arial"/>
          <w:color w:val="000000" w:themeColor="text1"/>
          <w:sz w:val="24"/>
          <w:szCs w:val="24"/>
        </w:rPr>
        <w:t>. (</w:t>
      </w:r>
      <w:r w:rsidR="00355DB9" w:rsidRPr="00C35DEE">
        <w:rPr>
          <w:rFonts w:ascii="Arial" w:eastAsia="Times New Roman" w:hAnsi="Arial" w:cs="Arial"/>
          <w:color w:val="000000" w:themeColor="text1"/>
          <w:sz w:val="24"/>
          <w:szCs w:val="24"/>
          <w:bdr w:val="none" w:sz="0" w:space="0" w:color="auto" w:frame="1"/>
          <w:lang w:val="en"/>
        </w:rPr>
        <w:t>H</w:t>
      </w:r>
      <w:r w:rsidR="00856C04" w:rsidRPr="00C35DEE">
        <w:rPr>
          <w:rFonts w:ascii="Arial" w:eastAsia="Times New Roman" w:hAnsi="Arial" w:cs="Arial"/>
          <w:color w:val="000000" w:themeColor="text1"/>
          <w:sz w:val="24"/>
          <w:szCs w:val="24"/>
          <w:bdr w:val="none" w:sz="0" w:space="0" w:color="auto" w:frame="1"/>
          <w:lang w:val="en"/>
        </w:rPr>
        <w:t xml:space="preserve">ealth </w:t>
      </w:r>
      <w:r w:rsidR="00355DB9" w:rsidRPr="00C35DEE">
        <w:rPr>
          <w:rFonts w:ascii="Arial" w:eastAsia="Times New Roman" w:hAnsi="Arial" w:cs="Arial"/>
          <w:color w:val="000000" w:themeColor="text1"/>
          <w:sz w:val="24"/>
          <w:szCs w:val="24"/>
          <w:bdr w:val="none" w:sz="0" w:space="0" w:color="auto" w:frame="1"/>
          <w:lang w:val="en"/>
        </w:rPr>
        <w:t>&amp;</w:t>
      </w:r>
      <w:r w:rsidR="00856C04" w:rsidRPr="00C35DEE">
        <w:rPr>
          <w:rFonts w:ascii="Arial" w:eastAsia="Times New Roman" w:hAnsi="Arial" w:cs="Arial"/>
          <w:color w:val="000000" w:themeColor="text1"/>
          <w:sz w:val="24"/>
          <w:szCs w:val="24"/>
          <w:bdr w:val="none" w:sz="0" w:space="0" w:color="auto" w:frame="1"/>
          <w:lang w:val="en"/>
        </w:rPr>
        <w:t xml:space="preserve"> </w:t>
      </w:r>
      <w:proofErr w:type="spellStart"/>
      <w:r w:rsidR="00856C04" w:rsidRPr="00C35DEE">
        <w:rPr>
          <w:rFonts w:ascii="Arial" w:eastAsia="Times New Roman" w:hAnsi="Arial" w:cs="Arial"/>
          <w:color w:val="000000" w:themeColor="text1"/>
          <w:sz w:val="24"/>
          <w:szCs w:val="24"/>
          <w:bdr w:val="none" w:sz="0" w:space="0" w:color="auto" w:frame="1"/>
          <w:lang w:val="en"/>
        </w:rPr>
        <w:t>Saf</w:t>
      </w:r>
      <w:proofErr w:type="spellEnd"/>
      <w:r w:rsidR="00856C04" w:rsidRPr="00C35DEE">
        <w:rPr>
          <w:rFonts w:ascii="Arial" w:eastAsia="Times New Roman" w:hAnsi="Arial" w:cs="Arial"/>
          <w:color w:val="000000" w:themeColor="text1"/>
          <w:sz w:val="24"/>
          <w:szCs w:val="24"/>
          <w:bdr w:val="none" w:sz="0" w:space="0" w:color="auto" w:frame="1"/>
          <w:lang w:val="en"/>
        </w:rPr>
        <w:t>. Code</w:t>
      </w:r>
      <w:r w:rsidR="00355DB9" w:rsidRPr="00C35DEE">
        <w:rPr>
          <w:rFonts w:ascii="Arial" w:eastAsia="Times New Roman" w:hAnsi="Arial" w:cs="Arial"/>
          <w:color w:val="000000" w:themeColor="text1"/>
          <w:sz w:val="24"/>
          <w:szCs w:val="24"/>
          <w:bdr w:val="none" w:sz="0" w:space="0" w:color="auto" w:frame="1"/>
          <w:lang w:val="en"/>
        </w:rPr>
        <w:t xml:space="preserve"> § 1385.043(f)(5) &amp; </w:t>
      </w:r>
      <w:r w:rsidR="00856C04" w:rsidRPr="00C35DEE">
        <w:rPr>
          <w:rFonts w:ascii="Arial" w:eastAsia="Times New Roman" w:hAnsi="Arial" w:cs="Arial"/>
          <w:color w:val="000000" w:themeColor="text1"/>
          <w:sz w:val="24"/>
          <w:szCs w:val="24"/>
          <w:bdr w:val="none" w:sz="0" w:space="0" w:color="auto" w:frame="1"/>
          <w:lang w:val="en"/>
        </w:rPr>
        <w:t>Ins. Code</w:t>
      </w:r>
      <w:r w:rsidR="00355DB9" w:rsidRPr="00C35DEE">
        <w:rPr>
          <w:rFonts w:ascii="Arial" w:eastAsia="Times New Roman" w:hAnsi="Arial" w:cs="Arial"/>
          <w:color w:val="000000" w:themeColor="text1"/>
          <w:sz w:val="24"/>
          <w:szCs w:val="24"/>
          <w:bdr w:val="none" w:sz="0" w:space="0" w:color="auto" w:frame="1"/>
          <w:lang w:val="en"/>
        </w:rPr>
        <w:t xml:space="preserve"> § 10181.46(f)(5)</w:t>
      </w:r>
      <w:r w:rsidR="00172791" w:rsidRPr="00C35DEE">
        <w:rPr>
          <w:rFonts w:ascii="Arial" w:eastAsia="Times New Roman" w:hAnsi="Arial" w:cs="Arial"/>
          <w:color w:val="000000" w:themeColor="text1"/>
          <w:sz w:val="24"/>
          <w:szCs w:val="24"/>
          <w:bdr w:val="none" w:sz="0" w:space="0" w:color="auto" w:frame="1"/>
          <w:lang w:val="en"/>
        </w:rPr>
        <w:t>.</w:t>
      </w:r>
      <w:r w:rsidR="00313C4F" w:rsidRPr="00C35DEE">
        <w:rPr>
          <w:rFonts w:ascii="Arial" w:eastAsia="Times New Roman" w:hAnsi="Arial" w:cs="Arial"/>
          <w:color w:val="000000" w:themeColor="text1"/>
          <w:sz w:val="24"/>
          <w:szCs w:val="24"/>
          <w:bdr w:val="none" w:sz="0" w:space="0" w:color="auto" w:frame="1"/>
          <w:lang w:val="en"/>
        </w:rPr>
        <w:t>)</w:t>
      </w:r>
    </w:p>
    <w:p w14:paraId="099B2AA6" w14:textId="3490294F" w:rsidR="006F44F1" w:rsidRPr="00C35DEE" w:rsidRDefault="005E4D1D" w:rsidP="00241E7F">
      <w:pPr>
        <w:pStyle w:val="ListParagraph"/>
        <w:numPr>
          <w:ilvl w:val="0"/>
          <w:numId w:val="10"/>
        </w:numPr>
        <w:spacing w:afterLines="100" w:after="240" w:line="240" w:lineRule="auto"/>
        <w:contextualSpacing w:val="0"/>
        <w:textAlignment w:val="baseline"/>
        <w:rPr>
          <w:rFonts w:ascii="Arial" w:hAnsi="Arial" w:cs="Arial"/>
          <w:color w:val="000000" w:themeColor="text1"/>
          <w:sz w:val="24"/>
          <w:szCs w:val="24"/>
          <w:bdr w:val="none" w:sz="0" w:space="0" w:color="auto" w:frame="1"/>
          <w:lang w:val="en"/>
        </w:rPr>
      </w:pPr>
      <w:r w:rsidRPr="00C35DEE">
        <w:rPr>
          <w:rFonts w:ascii="Arial" w:eastAsia="Times New Roman" w:hAnsi="Arial" w:cs="Arial"/>
          <w:color w:val="000000" w:themeColor="text1"/>
          <w:sz w:val="24"/>
          <w:szCs w:val="24"/>
          <w:bdr w:val="none" w:sz="0" w:space="0" w:color="auto" w:frame="1"/>
          <w:lang w:val="en"/>
        </w:rPr>
        <w:t>“</w:t>
      </w:r>
      <w:r w:rsidR="00355DB9" w:rsidRPr="00C35DEE">
        <w:rPr>
          <w:rFonts w:ascii="Arial" w:eastAsia="Times New Roman" w:hAnsi="Arial" w:cs="Arial"/>
          <w:color w:val="000000" w:themeColor="text1"/>
          <w:sz w:val="24"/>
          <w:szCs w:val="24"/>
          <w:bdr w:val="none" w:sz="0" w:space="0" w:color="auto" w:frame="1"/>
          <w:lang w:val="en"/>
        </w:rPr>
        <w:t>Standard benefit design</w:t>
      </w:r>
      <w:r w:rsidRPr="00C35DEE">
        <w:rPr>
          <w:rFonts w:ascii="Arial" w:eastAsia="Times New Roman" w:hAnsi="Arial" w:cs="Arial"/>
          <w:color w:val="000000" w:themeColor="text1"/>
          <w:sz w:val="24"/>
          <w:szCs w:val="24"/>
          <w:bdr w:val="none" w:sz="0" w:space="0" w:color="auto" w:frame="1"/>
          <w:lang w:val="en"/>
        </w:rPr>
        <w:t>”</w:t>
      </w:r>
      <w:r w:rsidR="00347141" w:rsidRPr="00C35DEE">
        <w:rPr>
          <w:rFonts w:ascii="Arial" w:eastAsia="Times New Roman" w:hAnsi="Arial" w:cs="Arial"/>
          <w:color w:val="000000" w:themeColor="text1"/>
          <w:sz w:val="24"/>
          <w:szCs w:val="24"/>
          <w:bdr w:val="none" w:sz="0" w:space="0" w:color="auto" w:frame="1"/>
          <w:lang w:val="en"/>
        </w:rPr>
        <w:t xml:space="preserve"> </w:t>
      </w:r>
      <w:r w:rsidR="00355DB9" w:rsidRPr="00C35DEE">
        <w:rPr>
          <w:rFonts w:ascii="Arial" w:eastAsia="Times New Roman" w:hAnsi="Arial" w:cs="Arial"/>
          <w:color w:val="000000" w:themeColor="text1"/>
          <w:sz w:val="24"/>
          <w:szCs w:val="24"/>
          <w:bdr w:val="none" w:sz="0" w:space="0" w:color="auto" w:frame="1"/>
          <w:lang w:val="en"/>
        </w:rPr>
        <w:t>means the standardized products approved by the executive board of the California Health Benefit Exchange pursuant to subdivision (c) of Section 100504 of the Government Code.</w:t>
      </w:r>
      <w:r w:rsidR="00172791" w:rsidRPr="00C35DEE">
        <w:rPr>
          <w:rFonts w:ascii="Arial" w:eastAsia="Times New Roman" w:hAnsi="Arial" w:cs="Arial"/>
          <w:color w:val="000000" w:themeColor="text1"/>
          <w:sz w:val="24"/>
          <w:szCs w:val="24"/>
          <w:bdr w:val="none" w:sz="0" w:space="0" w:color="auto" w:frame="1"/>
          <w:lang w:val="en"/>
        </w:rPr>
        <w:t xml:space="preserve"> </w:t>
      </w:r>
      <w:r w:rsidR="00172791" w:rsidRPr="00C35DEE">
        <w:rPr>
          <w:rFonts w:ascii="Arial" w:hAnsi="Arial" w:cs="Arial"/>
          <w:color w:val="000000" w:themeColor="text1"/>
          <w:sz w:val="24"/>
          <w:szCs w:val="24"/>
        </w:rPr>
        <w:t>(</w:t>
      </w:r>
      <w:r w:rsidR="00172791" w:rsidRPr="00C35DEE">
        <w:rPr>
          <w:rFonts w:ascii="Arial" w:eastAsia="Times New Roman" w:hAnsi="Arial" w:cs="Arial"/>
          <w:color w:val="000000" w:themeColor="text1"/>
          <w:sz w:val="24"/>
          <w:szCs w:val="24"/>
          <w:bdr w:val="none" w:sz="0" w:space="0" w:color="auto" w:frame="1"/>
          <w:lang w:val="en"/>
        </w:rPr>
        <w:t>H</w:t>
      </w:r>
      <w:r w:rsidR="00856C04" w:rsidRPr="00C35DEE">
        <w:rPr>
          <w:rFonts w:ascii="Arial" w:eastAsia="Times New Roman" w:hAnsi="Arial" w:cs="Arial"/>
          <w:color w:val="000000" w:themeColor="text1"/>
          <w:sz w:val="24"/>
          <w:szCs w:val="24"/>
          <w:bdr w:val="none" w:sz="0" w:space="0" w:color="auto" w:frame="1"/>
          <w:lang w:val="en"/>
        </w:rPr>
        <w:t xml:space="preserve">ealth </w:t>
      </w:r>
      <w:r w:rsidR="00172791" w:rsidRPr="00C35DEE">
        <w:rPr>
          <w:rFonts w:ascii="Arial" w:eastAsia="Times New Roman" w:hAnsi="Arial" w:cs="Arial"/>
          <w:color w:val="000000" w:themeColor="text1"/>
          <w:sz w:val="24"/>
          <w:szCs w:val="24"/>
          <w:bdr w:val="none" w:sz="0" w:space="0" w:color="auto" w:frame="1"/>
          <w:lang w:val="en"/>
        </w:rPr>
        <w:t>&amp;</w:t>
      </w:r>
      <w:r w:rsidR="00856C04" w:rsidRPr="00C35DEE">
        <w:rPr>
          <w:rFonts w:ascii="Arial" w:eastAsia="Times New Roman" w:hAnsi="Arial" w:cs="Arial"/>
          <w:color w:val="000000" w:themeColor="text1"/>
          <w:sz w:val="24"/>
          <w:szCs w:val="24"/>
          <w:bdr w:val="none" w:sz="0" w:space="0" w:color="auto" w:frame="1"/>
          <w:lang w:val="en"/>
        </w:rPr>
        <w:t xml:space="preserve"> </w:t>
      </w:r>
      <w:proofErr w:type="spellStart"/>
      <w:r w:rsidR="00856C04" w:rsidRPr="00C35DEE">
        <w:rPr>
          <w:rFonts w:ascii="Arial" w:eastAsia="Times New Roman" w:hAnsi="Arial" w:cs="Arial"/>
          <w:color w:val="000000" w:themeColor="text1"/>
          <w:sz w:val="24"/>
          <w:szCs w:val="24"/>
          <w:bdr w:val="none" w:sz="0" w:space="0" w:color="auto" w:frame="1"/>
          <w:lang w:val="en"/>
        </w:rPr>
        <w:t>Saf</w:t>
      </w:r>
      <w:proofErr w:type="spellEnd"/>
      <w:r w:rsidR="00856C04" w:rsidRPr="00C35DEE">
        <w:rPr>
          <w:rFonts w:ascii="Arial" w:eastAsia="Times New Roman" w:hAnsi="Arial" w:cs="Arial"/>
          <w:color w:val="000000" w:themeColor="text1"/>
          <w:sz w:val="24"/>
          <w:szCs w:val="24"/>
          <w:bdr w:val="none" w:sz="0" w:space="0" w:color="auto" w:frame="1"/>
          <w:lang w:val="en"/>
        </w:rPr>
        <w:t>. Code</w:t>
      </w:r>
      <w:r w:rsidR="00172791" w:rsidRPr="00C35DEE">
        <w:rPr>
          <w:rFonts w:ascii="Arial" w:eastAsia="Times New Roman" w:hAnsi="Arial" w:cs="Arial"/>
          <w:color w:val="000000" w:themeColor="text1"/>
          <w:sz w:val="24"/>
          <w:szCs w:val="24"/>
          <w:bdr w:val="none" w:sz="0" w:space="0" w:color="auto" w:frame="1"/>
          <w:lang w:val="en"/>
        </w:rPr>
        <w:t xml:space="preserve"> § 1385.043(f)(6) &amp; </w:t>
      </w:r>
      <w:r w:rsidR="00856C04" w:rsidRPr="00C35DEE">
        <w:rPr>
          <w:rFonts w:ascii="Arial" w:eastAsia="Times New Roman" w:hAnsi="Arial" w:cs="Arial"/>
          <w:color w:val="000000" w:themeColor="text1"/>
          <w:sz w:val="24"/>
          <w:szCs w:val="24"/>
          <w:bdr w:val="none" w:sz="0" w:space="0" w:color="auto" w:frame="1"/>
          <w:lang w:val="en"/>
        </w:rPr>
        <w:t>Ins. Code</w:t>
      </w:r>
      <w:r w:rsidR="00172791" w:rsidRPr="00C35DEE">
        <w:rPr>
          <w:rFonts w:ascii="Arial" w:eastAsia="Times New Roman" w:hAnsi="Arial" w:cs="Arial"/>
          <w:color w:val="000000" w:themeColor="text1"/>
          <w:sz w:val="24"/>
          <w:szCs w:val="24"/>
          <w:bdr w:val="none" w:sz="0" w:space="0" w:color="auto" w:frame="1"/>
          <w:lang w:val="en"/>
        </w:rPr>
        <w:t xml:space="preserve"> § 10181.46(f)(6).)</w:t>
      </w:r>
    </w:p>
    <w:p w14:paraId="6783A5FC" w14:textId="4ECAE370" w:rsidR="00A35F72" w:rsidRPr="00C35DEE" w:rsidRDefault="00A35F72" w:rsidP="00241E7F">
      <w:pPr>
        <w:pStyle w:val="ListParagraph"/>
        <w:numPr>
          <w:ilvl w:val="0"/>
          <w:numId w:val="10"/>
        </w:numPr>
        <w:spacing w:afterLines="100" w:after="240" w:line="240" w:lineRule="auto"/>
        <w:contextualSpacing w:val="0"/>
        <w:textAlignment w:val="baseline"/>
        <w:rPr>
          <w:rFonts w:ascii="Arial" w:hAnsi="Arial" w:cs="Arial"/>
          <w:color w:val="000000" w:themeColor="text1"/>
          <w:sz w:val="24"/>
          <w:szCs w:val="24"/>
          <w:bdr w:val="none" w:sz="0" w:space="0" w:color="auto" w:frame="1"/>
          <w:lang w:val="en"/>
        </w:rPr>
      </w:pPr>
      <w:r w:rsidRPr="00C35DEE">
        <w:rPr>
          <w:rFonts w:ascii="Arial" w:eastAsia="Times New Roman" w:hAnsi="Arial" w:cs="Arial"/>
          <w:color w:val="000000" w:themeColor="text1"/>
          <w:sz w:val="24"/>
          <w:szCs w:val="24"/>
          <w:bdr w:val="none" w:sz="0" w:space="0" w:color="auto" w:frame="1"/>
          <w:lang w:val="en"/>
        </w:rPr>
        <w:t>“Weighted average rate change” means</w:t>
      </w:r>
      <w:r w:rsidR="00430B1D" w:rsidRPr="00C35DEE">
        <w:rPr>
          <w:rFonts w:ascii="Arial" w:eastAsia="Times New Roman" w:hAnsi="Arial" w:cs="Arial"/>
          <w:color w:val="000000" w:themeColor="text1"/>
          <w:sz w:val="24"/>
          <w:szCs w:val="24"/>
          <w:bdr w:val="none" w:sz="0" w:space="0" w:color="auto" w:frame="1"/>
          <w:lang w:val="en"/>
        </w:rPr>
        <w:t xml:space="preserve"> </w:t>
      </w:r>
      <w:r w:rsidR="00EE20BE" w:rsidRPr="00C35DEE">
        <w:rPr>
          <w:rFonts w:ascii="Arial" w:eastAsia="Times New Roman" w:hAnsi="Arial" w:cs="Arial"/>
          <w:color w:val="000000" w:themeColor="text1"/>
          <w:sz w:val="24"/>
          <w:szCs w:val="24"/>
          <w:bdr w:val="none" w:sz="0" w:space="0" w:color="auto" w:frame="1"/>
          <w:lang w:val="en"/>
        </w:rPr>
        <w:t xml:space="preserve">the </w:t>
      </w:r>
      <w:r w:rsidR="00A56293" w:rsidRPr="00C35DEE">
        <w:rPr>
          <w:rFonts w:ascii="Arial" w:hAnsi="Arial" w:cs="Arial"/>
          <w:sz w:val="24"/>
          <w:szCs w:val="24"/>
        </w:rPr>
        <w:t>weighted average of the annual rate increases</w:t>
      </w:r>
      <w:r w:rsidR="004425A4" w:rsidRPr="00C35DEE">
        <w:rPr>
          <w:rFonts w:ascii="Arial" w:hAnsi="Arial" w:cs="Arial"/>
          <w:sz w:val="24"/>
          <w:szCs w:val="24"/>
        </w:rPr>
        <w:t xml:space="preserve"> or decreases</w:t>
      </w:r>
      <w:r w:rsidR="00A56293" w:rsidRPr="00C35DEE">
        <w:rPr>
          <w:rFonts w:ascii="Arial" w:hAnsi="Arial" w:cs="Arial"/>
          <w:sz w:val="24"/>
          <w:szCs w:val="24"/>
        </w:rPr>
        <w:t xml:space="preserve"> that were implemented (actual or a reasonable approximation when actual information is not available) weighted by the number of enrollees/covered lives.</w:t>
      </w:r>
    </w:p>
    <w:p w14:paraId="20BFD901" w14:textId="77777777" w:rsidR="007B360F" w:rsidRPr="00C35DEE" w:rsidRDefault="003B6C7D" w:rsidP="003B6C7D">
      <w:pPr>
        <w:pStyle w:val="CM23"/>
        <w:spacing w:after="240" w:line="276" w:lineRule="atLeast"/>
        <w:rPr>
          <w:b/>
          <w:color w:val="000000" w:themeColor="text1"/>
          <w:u w:val="single"/>
        </w:rPr>
      </w:pPr>
      <w:r w:rsidRPr="00C35DEE">
        <w:rPr>
          <w:b/>
          <w:color w:val="000000" w:themeColor="text1"/>
          <w:u w:val="single"/>
        </w:rPr>
        <w:t xml:space="preserve">Section IV:  </w:t>
      </w:r>
      <w:r w:rsidR="007B360F" w:rsidRPr="00C35DEE">
        <w:rPr>
          <w:b/>
          <w:color w:val="000000" w:themeColor="text1"/>
          <w:u w:val="single"/>
        </w:rPr>
        <w:t>Filing Requirements</w:t>
      </w:r>
    </w:p>
    <w:p w14:paraId="7AF4C5C4" w14:textId="77777777" w:rsidR="00D52D35" w:rsidRPr="00C35DEE" w:rsidRDefault="0099541D" w:rsidP="00D320AE">
      <w:pPr>
        <w:pStyle w:val="Default"/>
        <w:spacing w:after="240"/>
        <w:rPr>
          <w:color w:val="000000" w:themeColor="text1"/>
        </w:rPr>
      </w:pPr>
      <w:bookmarkStart w:id="0" w:name="_Hlk103078619"/>
      <w:r w:rsidRPr="00C35DEE">
        <w:rPr>
          <w:color w:val="000000" w:themeColor="text1"/>
        </w:rPr>
        <w:t xml:space="preserve">These </w:t>
      </w:r>
      <w:r w:rsidR="00D320AE" w:rsidRPr="00C35DEE">
        <w:rPr>
          <w:color w:val="000000" w:themeColor="text1"/>
        </w:rPr>
        <w:t xml:space="preserve">filing requirements apply to all </w:t>
      </w:r>
      <w:r w:rsidR="008A216C" w:rsidRPr="00C35DEE">
        <w:rPr>
          <w:color w:val="000000" w:themeColor="text1"/>
        </w:rPr>
        <w:t>individual and small</w:t>
      </w:r>
      <w:r w:rsidR="00D320AE" w:rsidRPr="00C35DEE">
        <w:rPr>
          <w:color w:val="000000" w:themeColor="text1"/>
        </w:rPr>
        <w:t xml:space="preserve"> group filings submitted </w:t>
      </w:r>
      <w:r w:rsidR="005E1D62" w:rsidRPr="00C35DEE">
        <w:rPr>
          <w:color w:val="000000" w:themeColor="text1"/>
        </w:rPr>
        <w:t>on</w:t>
      </w:r>
      <w:r w:rsidR="00BF54A0" w:rsidRPr="00C35DEE">
        <w:rPr>
          <w:color w:val="000000" w:themeColor="text1"/>
        </w:rPr>
        <w:t xml:space="preserve"> October</w:t>
      </w:r>
      <w:r w:rsidR="00D320AE" w:rsidRPr="00C35DEE">
        <w:rPr>
          <w:color w:val="000000" w:themeColor="text1"/>
        </w:rPr>
        <w:t xml:space="preserve"> 1, </w:t>
      </w:r>
      <w:proofErr w:type="gramStart"/>
      <w:r w:rsidR="00D320AE" w:rsidRPr="00C35DEE">
        <w:rPr>
          <w:color w:val="000000" w:themeColor="text1"/>
        </w:rPr>
        <w:t>202</w:t>
      </w:r>
      <w:r w:rsidR="00BF54A0" w:rsidRPr="00C35DEE">
        <w:rPr>
          <w:color w:val="000000" w:themeColor="text1"/>
        </w:rPr>
        <w:t>1</w:t>
      </w:r>
      <w:proofErr w:type="gramEnd"/>
      <w:r w:rsidR="00BF54A0" w:rsidRPr="00C35DEE">
        <w:rPr>
          <w:color w:val="000000" w:themeColor="text1"/>
        </w:rPr>
        <w:t xml:space="preserve"> and annually thereafter</w:t>
      </w:r>
      <w:r w:rsidR="00D320AE" w:rsidRPr="00C35DEE">
        <w:rPr>
          <w:color w:val="000000" w:themeColor="text1"/>
        </w:rPr>
        <w:t>.</w:t>
      </w:r>
      <w:r w:rsidR="00A811EE" w:rsidRPr="00C35DEE">
        <w:rPr>
          <w:color w:val="000000" w:themeColor="text1"/>
        </w:rPr>
        <w:t xml:space="preserve"> Health plan</w:t>
      </w:r>
      <w:r w:rsidR="00EA07AA" w:rsidRPr="00C35DEE">
        <w:rPr>
          <w:color w:val="000000" w:themeColor="text1"/>
        </w:rPr>
        <w:t>s</w:t>
      </w:r>
      <w:r w:rsidR="00A811EE" w:rsidRPr="00C35DEE">
        <w:rPr>
          <w:color w:val="000000" w:themeColor="text1"/>
        </w:rPr>
        <w:t xml:space="preserve"> </w:t>
      </w:r>
      <w:r w:rsidR="003B6C7D" w:rsidRPr="00C35DEE">
        <w:rPr>
          <w:color w:val="000000" w:themeColor="text1"/>
        </w:rPr>
        <w:t xml:space="preserve">and health insurers </w:t>
      </w:r>
      <w:r w:rsidR="00EA07AA" w:rsidRPr="00C35DEE">
        <w:rPr>
          <w:color w:val="000000" w:themeColor="text1"/>
        </w:rPr>
        <w:t>are</w:t>
      </w:r>
      <w:r w:rsidR="00A811EE" w:rsidRPr="00C35DEE">
        <w:rPr>
          <w:color w:val="000000" w:themeColor="text1"/>
        </w:rPr>
        <w:t xml:space="preserve"> required to file a separate filing for each </w:t>
      </w:r>
      <w:r w:rsidR="00CC1A07" w:rsidRPr="00C35DEE">
        <w:rPr>
          <w:color w:val="000000" w:themeColor="text1"/>
        </w:rPr>
        <w:t xml:space="preserve">market </w:t>
      </w:r>
      <w:r w:rsidR="00A811EE" w:rsidRPr="00C35DEE">
        <w:rPr>
          <w:color w:val="000000" w:themeColor="text1"/>
        </w:rPr>
        <w:t>(i.e</w:t>
      </w:r>
      <w:r w:rsidR="007C1E3C" w:rsidRPr="00C35DEE">
        <w:rPr>
          <w:color w:val="000000" w:themeColor="text1"/>
        </w:rPr>
        <w:t>.</w:t>
      </w:r>
      <w:r w:rsidR="00A811EE" w:rsidRPr="00C35DEE">
        <w:rPr>
          <w:color w:val="000000" w:themeColor="text1"/>
        </w:rPr>
        <w:t xml:space="preserve">, </w:t>
      </w:r>
      <w:proofErr w:type="gramStart"/>
      <w:r w:rsidR="00313C4F" w:rsidRPr="00C35DEE">
        <w:rPr>
          <w:color w:val="000000" w:themeColor="text1"/>
        </w:rPr>
        <w:t>i</w:t>
      </w:r>
      <w:r w:rsidR="00CC1A07" w:rsidRPr="00C35DEE">
        <w:rPr>
          <w:color w:val="000000" w:themeColor="text1"/>
        </w:rPr>
        <w:t>ndividual</w:t>
      </w:r>
      <w:proofErr w:type="gramEnd"/>
      <w:r w:rsidR="00CC1A07" w:rsidRPr="00C35DEE">
        <w:rPr>
          <w:color w:val="000000" w:themeColor="text1"/>
        </w:rPr>
        <w:t xml:space="preserve"> and </w:t>
      </w:r>
      <w:r w:rsidR="00313C4F" w:rsidRPr="00C35DEE">
        <w:rPr>
          <w:color w:val="000000" w:themeColor="text1"/>
        </w:rPr>
        <w:t>s</w:t>
      </w:r>
      <w:r w:rsidR="00CC1A07" w:rsidRPr="00C35DEE">
        <w:rPr>
          <w:color w:val="000000" w:themeColor="text1"/>
        </w:rPr>
        <w:t>mall group</w:t>
      </w:r>
      <w:r w:rsidR="00A811EE" w:rsidRPr="00C35DEE">
        <w:rPr>
          <w:color w:val="000000" w:themeColor="text1"/>
        </w:rPr>
        <w:t xml:space="preserve">). </w:t>
      </w:r>
    </w:p>
    <w:bookmarkEnd w:id="0"/>
    <w:p w14:paraId="1B53D835" w14:textId="23A54FB2" w:rsidR="00A917C1" w:rsidRPr="00C35DEE" w:rsidRDefault="00A917C1" w:rsidP="007B036E">
      <w:pPr>
        <w:pStyle w:val="Default"/>
        <w:spacing w:after="240"/>
        <w:rPr>
          <w:lang w:bidi="en-US"/>
        </w:rPr>
      </w:pPr>
      <w:r w:rsidRPr="00C35DEE">
        <w:t xml:space="preserve">The annual filing required by Health and Safety Code section </w:t>
      </w:r>
      <w:proofErr w:type="gramStart"/>
      <w:r w:rsidRPr="00C35DEE">
        <w:t>1385.0</w:t>
      </w:r>
      <w:r w:rsidR="00BF54A0" w:rsidRPr="00C35DEE">
        <w:t>4</w:t>
      </w:r>
      <w:r w:rsidRPr="00C35DEE">
        <w:t>3(</w:t>
      </w:r>
      <w:r w:rsidR="00BF54A0" w:rsidRPr="00C35DEE">
        <w:t>d</w:t>
      </w:r>
      <w:r w:rsidRPr="00C35DEE">
        <w:t>)</w:t>
      </w:r>
      <w:proofErr w:type="gramEnd"/>
      <w:r w:rsidRPr="00C35DEE">
        <w:t xml:space="preserve"> or Insurance Code section 10181.</w:t>
      </w:r>
      <w:r w:rsidR="00BF54A0" w:rsidRPr="00C35DEE">
        <w:t>46</w:t>
      </w:r>
      <w:r w:rsidRPr="00C35DEE">
        <w:t>(</w:t>
      </w:r>
      <w:r w:rsidR="00BF54A0" w:rsidRPr="00C35DEE">
        <w:t>d</w:t>
      </w:r>
      <w:r w:rsidRPr="00C35DEE">
        <w:t>) shall be submitted annually to the respective Department via SERFF on or before</w:t>
      </w:r>
      <w:r w:rsidR="007E5E84" w:rsidRPr="00C35DEE">
        <w:t xml:space="preserve"> </w:t>
      </w:r>
      <w:r w:rsidR="00BF54A0" w:rsidRPr="00C35DEE">
        <w:t>October 1</w:t>
      </w:r>
      <w:r w:rsidR="00690D45" w:rsidRPr="00C35DEE">
        <w:rPr>
          <w:lang w:bidi="en-US"/>
        </w:rPr>
        <w:t xml:space="preserve">. </w:t>
      </w:r>
      <w:r w:rsidRPr="00C35DEE">
        <w:t>In the SERFF “Filing Description” line, indicate</w:t>
      </w:r>
      <w:r w:rsidR="00B9465B" w:rsidRPr="00C35DEE">
        <w:t xml:space="preserve"> either</w:t>
      </w:r>
      <w:r w:rsidRPr="00C35DEE">
        <w:t xml:space="preserve"> “</w:t>
      </w:r>
      <w:r w:rsidR="00B9465B" w:rsidRPr="00C35DEE">
        <w:t>Individual</w:t>
      </w:r>
      <w:r w:rsidRPr="00C35DEE">
        <w:t xml:space="preserve"> Annual</w:t>
      </w:r>
      <w:r w:rsidR="00B9465B" w:rsidRPr="00C35DEE">
        <w:t xml:space="preserve"> Aggregate</w:t>
      </w:r>
      <w:r w:rsidRPr="00C35DEE">
        <w:t xml:space="preserve"> </w:t>
      </w:r>
      <w:r w:rsidR="00727B6F" w:rsidRPr="00C35DEE">
        <w:t xml:space="preserve">Rate </w:t>
      </w:r>
      <w:r w:rsidRPr="00C35DEE">
        <w:t>Filing”</w:t>
      </w:r>
      <w:r w:rsidR="00B9465B" w:rsidRPr="00C35DEE">
        <w:t xml:space="preserve"> or “Small Group Annual Aggregate </w:t>
      </w:r>
      <w:r w:rsidR="00727B6F" w:rsidRPr="00C35DEE">
        <w:t xml:space="preserve">Rate </w:t>
      </w:r>
      <w:r w:rsidR="00B9465B" w:rsidRPr="00C35DEE">
        <w:t>Filing</w:t>
      </w:r>
      <w:r w:rsidR="005E5128" w:rsidRPr="00C35DEE">
        <w:t>.</w:t>
      </w:r>
      <w:r w:rsidR="00B9465B" w:rsidRPr="00C35DEE">
        <w:t>”</w:t>
      </w:r>
    </w:p>
    <w:p w14:paraId="7A9A2139" w14:textId="41547D98" w:rsidR="002F7BDD" w:rsidRPr="00C35DEE" w:rsidRDefault="005D5B7A" w:rsidP="00F10A68">
      <w:pPr>
        <w:pStyle w:val="Default"/>
        <w:numPr>
          <w:ilvl w:val="0"/>
          <w:numId w:val="4"/>
        </w:numPr>
        <w:spacing w:after="240"/>
        <w:rPr>
          <w:color w:val="000000" w:themeColor="text1"/>
        </w:rPr>
      </w:pPr>
      <w:r w:rsidRPr="00C35DEE">
        <w:rPr>
          <w:color w:val="000000" w:themeColor="text1"/>
        </w:rPr>
        <w:lastRenderedPageBreak/>
        <w:t xml:space="preserve">For </w:t>
      </w:r>
      <w:r w:rsidR="00B9465B" w:rsidRPr="00C35DEE">
        <w:rPr>
          <w:bCs/>
          <w:iCs/>
          <w:color w:val="000000" w:themeColor="text1"/>
        </w:rPr>
        <w:t xml:space="preserve">Individual Annual Aggregate </w:t>
      </w:r>
      <w:r w:rsidR="00727B6F" w:rsidRPr="00C35DEE">
        <w:rPr>
          <w:bCs/>
          <w:iCs/>
          <w:color w:val="000000" w:themeColor="text1"/>
        </w:rPr>
        <w:t xml:space="preserve">Rate </w:t>
      </w:r>
      <w:r w:rsidR="00B9465B" w:rsidRPr="00C35DEE">
        <w:rPr>
          <w:bCs/>
          <w:iCs/>
          <w:color w:val="000000" w:themeColor="text1"/>
        </w:rPr>
        <w:t>Filing</w:t>
      </w:r>
      <w:r w:rsidR="00BC3D88" w:rsidRPr="00C35DEE">
        <w:rPr>
          <w:bCs/>
          <w:iCs/>
          <w:color w:val="000000" w:themeColor="text1"/>
        </w:rPr>
        <w:t xml:space="preserve"> and Small Group Annual Aggregate</w:t>
      </w:r>
      <w:r w:rsidR="00727B6F" w:rsidRPr="00C35DEE">
        <w:rPr>
          <w:bCs/>
          <w:iCs/>
          <w:color w:val="000000" w:themeColor="text1"/>
        </w:rPr>
        <w:t xml:space="preserve"> Rate</w:t>
      </w:r>
      <w:r w:rsidR="00BC3D88" w:rsidRPr="00C35DEE">
        <w:rPr>
          <w:bCs/>
          <w:iCs/>
          <w:color w:val="000000" w:themeColor="text1"/>
        </w:rPr>
        <w:t xml:space="preserve"> Filing</w:t>
      </w:r>
      <w:r w:rsidRPr="00C35DEE">
        <w:rPr>
          <w:b/>
          <w:i/>
          <w:color w:val="000000" w:themeColor="text1"/>
        </w:rPr>
        <w:t xml:space="preserve">, </w:t>
      </w:r>
      <w:r w:rsidRPr="00C35DEE">
        <w:rPr>
          <w:color w:val="000000" w:themeColor="text1"/>
        </w:rPr>
        <w:t>the following spreadsheets, contained in the “</w:t>
      </w:r>
      <w:r w:rsidR="00B9465B" w:rsidRPr="00C35DEE">
        <w:rPr>
          <w:color w:val="000000" w:themeColor="text1"/>
        </w:rPr>
        <w:t>Individual Annual Aggregate</w:t>
      </w:r>
      <w:r w:rsidR="00727B6F" w:rsidRPr="00C35DEE">
        <w:rPr>
          <w:color w:val="000000" w:themeColor="text1"/>
        </w:rPr>
        <w:t xml:space="preserve"> Rate</w:t>
      </w:r>
      <w:r w:rsidR="00B9465B" w:rsidRPr="00C35DEE">
        <w:rPr>
          <w:color w:val="000000" w:themeColor="text1"/>
        </w:rPr>
        <w:t xml:space="preserve"> Workbook</w:t>
      </w:r>
      <w:r w:rsidRPr="00C35DEE">
        <w:rPr>
          <w:color w:val="000000" w:themeColor="text1"/>
        </w:rPr>
        <w:t>”</w:t>
      </w:r>
      <w:r w:rsidR="00BC3D88" w:rsidRPr="00C35DEE">
        <w:rPr>
          <w:color w:val="000000" w:themeColor="text1"/>
        </w:rPr>
        <w:t xml:space="preserve"> and “Small Group Annual Aggregate </w:t>
      </w:r>
      <w:r w:rsidR="00727B6F" w:rsidRPr="00C35DEE">
        <w:rPr>
          <w:color w:val="000000" w:themeColor="text1"/>
        </w:rPr>
        <w:t xml:space="preserve">Rate </w:t>
      </w:r>
      <w:r w:rsidR="00BC3D88" w:rsidRPr="00C35DEE">
        <w:rPr>
          <w:color w:val="000000" w:themeColor="text1"/>
        </w:rPr>
        <w:t>Workbook</w:t>
      </w:r>
      <w:r w:rsidR="005E5128" w:rsidRPr="00C35DEE">
        <w:rPr>
          <w:color w:val="000000" w:themeColor="text1"/>
        </w:rPr>
        <w:t>,</w:t>
      </w:r>
      <w:r w:rsidR="00BC3D88" w:rsidRPr="00C35DEE">
        <w:rPr>
          <w:color w:val="000000" w:themeColor="text1"/>
        </w:rPr>
        <w:t>”</w:t>
      </w:r>
      <w:r w:rsidRPr="00C35DEE">
        <w:rPr>
          <w:color w:val="000000" w:themeColor="text1"/>
        </w:rPr>
        <w:t xml:space="preserve"> must be completed</w:t>
      </w:r>
      <w:r w:rsidR="002F7BDD" w:rsidRPr="00C35DEE">
        <w:rPr>
          <w:color w:val="000000" w:themeColor="text1"/>
        </w:rPr>
        <w:t>:</w:t>
      </w:r>
    </w:p>
    <w:p w14:paraId="05F97BDA" w14:textId="77777777" w:rsidR="002F7BDD" w:rsidRPr="00C35DEE" w:rsidRDefault="00B96DE9" w:rsidP="003B6C7D">
      <w:pPr>
        <w:pStyle w:val="Default"/>
        <w:numPr>
          <w:ilvl w:val="0"/>
          <w:numId w:val="25"/>
        </w:numPr>
        <w:spacing w:after="240"/>
        <w:rPr>
          <w:color w:val="000000" w:themeColor="text1"/>
        </w:rPr>
      </w:pPr>
      <w:r w:rsidRPr="00C35DEE">
        <w:rPr>
          <w:color w:val="000000" w:themeColor="text1"/>
        </w:rPr>
        <w:t>Index</w:t>
      </w:r>
      <w:r w:rsidR="009F44F3" w:rsidRPr="00C35DEE">
        <w:rPr>
          <w:color w:val="000000" w:themeColor="text1"/>
        </w:rPr>
        <w:t xml:space="preserve"> – </w:t>
      </w:r>
      <w:r w:rsidRPr="00C35DEE">
        <w:rPr>
          <w:color w:val="000000" w:themeColor="text1"/>
        </w:rPr>
        <w:t xml:space="preserve">Listing of required spreadsheets in the </w:t>
      </w:r>
      <w:proofErr w:type="gramStart"/>
      <w:r w:rsidRPr="00C35DEE">
        <w:rPr>
          <w:color w:val="000000" w:themeColor="text1"/>
        </w:rPr>
        <w:t>workbook</w:t>
      </w:r>
      <w:r w:rsidR="002F7BDD" w:rsidRPr="00C35DEE">
        <w:rPr>
          <w:color w:val="000000" w:themeColor="text1"/>
        </w:rPr>
        <w:t>;</w:t>
      </w:r>
      <w:proofErr w:type="gramEnd"/>
    </w:p>
    <w:p w14:paraId="4F10FC49" w14:textId="2BB5F034" w:rsidR="002A24ED" w:rsidRPr="00C35DEE" w:rsidRDefault="00B96DE9" w:rsidP="003B6C7D">
      <w:pPr>
        <w:pStyle w:val="Default"/>
        <w:numPr>
          <w:ilvl w:val="0"/>
          <w:numId w:val="25"/>
        </w:numPr>
        <w:spacing w:after="240"/>
        <w:rPr>
          <w:color w:val="000000" w:themeColor="text1"/>
        </w:rPr>
      </w:pPr>
      <w:proofErr w:type="spellStart"/>
      <w:r w:rsidRPr="00C35DEE">
        <w:rPr>
          <w:color w:val="000000" w:themeColor="text1"/>
        </w:rPr>
        <w:t>General_Info</w:t>
      </w:r>
      <w:proofErr w:type="spellEnd"/>
      <w:r w:rsidR="009F44F3" w:rsidRPr="00C35DEE">
        <w:rPr>
          <w:color w:val="000000" w:themeColor="text1"/>
        </w:rPr>
        <w:t xml:space="preserve"> </w:t>
      </w:r>
      <w:r w:rsidR="003811B9" w:rsidRPr="00C35DEE">
        <w:rPr>
          <w:color w:val="000000" w:themeColor="text1"/>
        </w:rPr>
        <w:t>–</w:t>
      </w:r>
      <w:r w:rsidR="009F44F3" w:rsidRPr="00C35DEE">
        <w:rPr>
          <w:color w:val="000000" w:themeColor="text1"/>
        </w:rPr>
        <w:t xml:space="preserve"> </w:t>
      </w:r>
      <w:r w:rsidRPr="00C35DEE">
        <w:rPr>
          <w:color w:val="000000" w:themeColor="text1"/>
        </w:rPr>
        <w:t xml:space="preserve">Where most of the information will be filled </w:t>
      </w:r>
      <w:proofErr w:type="gramStart"/>
      <w:r w:rsidRPr="00C35DEE">
        <w:rPr>
          <w:color w:val="000000" w:themeColor="text1"/>
        </w:rPr>
        <w:t>out</w:t>
      </w:r>
      <w:r w:rsidR="002A24ED" w:rsidRPr="00C35DEE">
        <w:rPr>
          <w:color w:val="000000" w:themeColor="text1"/>
        </w:rPr>
        <w:t>;</w:t>
      </w:r>
      <w:proofErr w:type="gramEnd"/>
      <w:r w:rsidR="00783519" w:rsidRPr="00C35DEE">
        <w:rPr>
          <w:color w:val="000000" w:themeColor="text1"/>
        </w:rPr>
        <w:t xml:space="preserve"> </w:t>
      </w:r>
      <w:r w:rsidR="004402EC" w:rsidRPr="00C35DEE">
        <w:rPr>
          <w:color w:val="000000" w:themeColor="text1"/>
        </w:rPr>
        <w:t xml:space="preserve">such as </w:t>
      </w:r>
      <w:r w:rsidR="00645D75" w:rsidRPr="00C35DEE">
        <w:rPr>
          <w:color w:val="000000" w:themeColor="text1"/>
        </w:rPr>
        <w:t>H</w:t>
      </w:r>
      <w:r w:rsidR="004402EC" w:rsidRPr="00C35DEE">
        <w:rPr>
          <w:color w:val="000000" w:themeColor="text1"/>
        </w:rPr>
        <w:t xml:space="preserve">ealth </w:t>
      </w:r>
      <w:r w:rsidR="00645D75" w:rsidRPr="00C35DEE">
        <w:rPr>
          <w:color w:val="000000" w:themeColor="text1"/>
        </w:rPr>
        <w:t>P</w:t>
      </w:r>
      <w:r w:rsidR="004402EC" w:rsidRPr="00C35DEE">
        <w:rPr>
          <w:color w:val="000000" w:themeColor="text1"/>
        </w:rPr>
        <w:t>lan/</w:t>
      </w:r>
      <w:r w:rsidR="00645D75" w:rsidRPr="00C35DEE">
        <w:rPr>
          <w:color w:val="000000" w:themeColor="text1"/>
        </w:rPr>
        <w:t>H</w:t>
      </w:r>
      <w:r w:rsidR="004402EC" w:rsidRPr="00C35DEE">
        <w:rPr>
          <w:color w:val="000000" w:themeColor="text1"/>
        </w:rPr>
        <w:t xml:space="preserve">ealth </w:t>
      </w:r>
      <w:r w:rsidR="00645D75" w:rsidRPr="00C35DEE">
        <w:rPr>
          <w:color w:val="000000" w:themeColor="text1"/>
        </w:rPr>
        <w:t>I</w:t>
      </w:r>
      <w:r w:rsidR="004402EC" w:rsidRPr="00C35DEE">
        <w:rPr>
          <w:color w:val="000000" w:themeColor="text1"/>
        </w:rPr>
        <w:t>nsurer’s name, submission date, reporting year and etc.</w:t>
      </w:r>
    </w:p>
    <w:p w14:paraId="59AB6F29" w14:textId="509DECE6" w:rsidR="002F7BDD" w:rsidRPr="00C35DEE" w:rsidRDefault="00B96DE9" w:rsidP="00B63B70">
      <w:pPr>
        <w:pStyle w:val="Default"/>
        <w:numPr>
          <w:ilvl w:val="0"/>
          <w:numId w:val="25"/>
        </w:numPr>
        <w:spacing w:after="240"/>
        <w:ind w:left="1440"/>
        <w:rPr>
          <w:color w:val="000000" w:themeColor="text1"/>
        </w:rPr>
      </w:pPr>
      <w:r w:rsidRPr="00C35DEE">
        <w:rPr>
          <w:color w:val="000000" w:themeColor="text1"/>
        </w:rPr>
        <w:t>Premium</w:t>
      </w:r>
      <w:r w:rsidR="003811B9" w:rsidRPr="00C35DEE">
        <w:rPr>
          <w:color w:val="000000" w:themeColor="text1"/>
        </w:rPr>
        <w:t xml:space="preserve"> – </w:t>
      </w:r>
      <w:r w:rsidR="00F825E5" w:rsidRPr="00C35DEE">
        <w:rPr>
          <w:color w:val="000000" w:themeColor="text1"/>
        </w:rPr>
        <w:t>Pr</w:t>
      </w:r>
      <w:r w:rsidRPr="00C35DEE">
        <w:rPr>
          <w:color w:val="000000" w:themeColor="text1"/>
        </w:rPr>
        <w:t>emium</w:t>
      </w:r>
      <w:r w:rsidR="003811B9" w:rsidRPr="00C35DEE">
        <w:rPr>
          <w:color w:val="000000" w:themeColor="text1"/>
        </w:rPr>
        <w:t xml:space="preserve"> </w:t>
      </w:r>
      <w:proofErr w:type="gramStart"/>
      <w:r w:rsidR="00294C32" w:rsidRPr="00C35DEE">
        <w:rPr>
          <w:color w:val="000000" w:themeColor="text1"/>
        </w:rPr>
        <w:t>I</w:t>
      </w:r>
      <w:r w:rsidR="003811B9" w:rsidRPr="00C35DEE">
        <w:rPr>
          <w:color w:val="000000" w:themeColor="text1"/>
        </w:rPr>
        <w:t>nformation</w:t>
      </w:r>
      <w:r w:rsidR="002F7BDD" w:rsidRPr="00C35DEE">
        <w:rPr>
          <w:color w:val="000000" w:themeColor="text1"/>
        </w:rPr>
        <w:t>;</w:t>
      </w:r>
      <w:proofErr w:type="gramEnd"/>
    </w:p>
    <w:p w14:paraId="4C466C02" w14:textId="79092F7E" w:rsidR="00B63B70" w:rsidRPr="00C35DEE" w:rsidRDefault="006767B6" w:rsidP="006767B6">
      <w:pPr>
        <w:pStyle w:val="ListParagraph"/>
        <w:ind w:left="1446"/>
        <w:rPr>
          <w:rFonts w:ascii="Arial" w:hAnsi="Arial" w:cs="Arial"/>
          <w:sz w:val="24"/>
          <w:szCs w:val="24"/>
        </w:rPr>
      </w:pPr>
      <w:r w:rsidRPr="00C35DEE">
        <w:rPr>
          <w:rFonts w:ascii="Arial" w:hAnsi="Arial" w:cs="Arial"/>
          <w:sz w:val="24"/>
          <w:szCs w:val="24"/>
        </w:rPr>
        <w:t>Effective January 1, 2023, the share of premium paid by enrollees is required pursuant to Section 1385.043 of the California Health and Safety Code</w:t>
      </w:r>
      <w:r w:rsidR="009F224D" w:rsidRPr="00C35DEE">
        <w:rPr>
          <w:rFonts w:ascii="Arial" w:hAnsi="Arial" w:cs="Arial"/>
          <w:sz w:val="24"/>
          <w:szCs w:val="24"/>
        </w:rPr>
        <w:t xml:space="preserve"> and Section 10181.46</w:t>
      </w:r>
      <w:r w:rsidR="00EA7111">
        <w:rPr>
          <w:rFonts w:ascii="Arial" w:hAnsi="Arial" w:cs="Arial"/>
          <w:sz w:val="24"/>
          <w:szCs w:val="24"/>
        </w:rPr>
        <w:t xml:space="preserve"> of</w:t>
      </w:r>
      <w:r w:rsidR="009F224D" w:rsidRPr="00C35DEE">
        <w:rPr>
          <w:rFonts w:ascii="Arial" w:hAnsi="Arial" w:cs="Arial"/>
          <w:sz w:val="24"/>
          <w:szCs w:val="24"/>
        </w:rPr>
        <w:t xml:space="preserve"> the California Insurance Code</w:t>
      </w:r>
      <w:r w:rsidRPr="00C35DEE">
        <w:rPr>
          <w:rFonts w:ascii="Arial" w:hAnsi="Arial" w:cs="Arial"/>
          <w:sz w:val="24"/>
          <w:szCs w:val="24"/>
        </w:rPr>
        <w:t>.</w:t>
      </w:r>
    </w:p>
    <w:p w14:paraId="20D44E4A" w14:textId="52E72F8B" w:rsidR="002F7BDD" w:rsidRPr="00C35DEE" w:rsidRDefault="00B96DE9" w:rsidP="003B6C7D">
      <w:pPr>
        <w:pStyle w:val="Default"/>
        <w:numPr>
          <w:ilvl w:val="0"/>
          <w:numId w:val="25"/>
        </w:numPr>
        <w:spacing w:after="240"/>
        <w:rPr>
          <w:color w:val="000000" w:themeColor="text1"/>
        </w:rPr>
      </w:pPr>
      <w:r w:rsidRPr="00C35DEE">
        <w:rPr>
          <w:color w:val="000000" w:themeColor="text1"/>
        </w:rPr>
        <w:t>Cost Sharing</w:t>
      </w:r>
      <w:r w:rsidR="00452046" w:rsidRPr="00C35DEE">
        <w:rPr>
          <w:color w:val="000000" w:themeColor="text1"/>
        </w:rPr>
        <w:t xml:space="preserve"> –</w:t>
      </w:r>
      <w:r w:rsidR="0045769A" w:rsidRPr="00C35DEE">
        <w:rPr>
          <w:color w:val="000000" w:themeColor="text1"/>
        </w:rPr>
        <w:t xml:space="preserve"> Cost sharing by </w:t>
      </w:r>
      <w:r w:rsidR="00923EE3" w:rsidRPr="00C35DEE">
        <w:rPr>
          <w:color w:val="000000" w:themeColor="text1"/>
        </w:rPr>
        <w:t>ranges</w:t>
      </w:r>
      <w:r w:rsidR="0045769A" w:rsidRPr="00C35DEE">
        <w:rPr>
          <w:color w:val="000000" w:themeColor="text1"/>
        </w:rPr>
        <w:t xml:space="preserve"> and by metal </w:t>
      </w:r>
      <w:proofErr w:type="gramStart"/>
      <w:r w:rsidR="0045769A" w:rsidRPr="00C35DEE">
        <w:rPr>
          <w:color w:val="000000" w:themeColor="text1"/>
        </w:rPr>
        <w:t>tiers</w:t>
      </w:r>
      <w:r w:rsidR="00501A3E" w:rsidRPr="00C35DEE">
        <w:rPr>
          <w:color w:val="000000" w:themeColor="text1"/>
        </w:rPr>
        <w:t>;</w:t>
      </w:r>
      <w:proofErr w:type="gramEnd"/>
    </w:p>
    <w:p w14:paraId="7A79972B" w14:textId="4FDC146C" w:rsidR="00056E33" w:rsidRPr="00C35DEE" w:rsidRDefault="001F52EC" w:rsidP="001F52EC">
      <w:pPr>
        <w:pStyle w:val="ListParagraph"/>
        <w:ind w:left="1446"/>
        <w:rPr>
          <w:rFonts w:ascii="Arial" w:hAnsi="Arial" w:cs="Arial"/>
          <w:sz w:val="24"/>
          <w:szCs w:val="24"/>
        </w:rPr>
      </w:pPr>
      <w:r w:rsidRPr="00C35DEE">
        <w:rPr>
          <w:rFonts w:ascii="Arial" w:hAnsi="Arial" w:cs="Arial"/>
          <w:sz w:val="24"/>
          <w:szCs w:val="24"/>
        </w:rPr>
        <w:t xml:space="preserve">Individual cost sharing refers </w:t>
      </w:r>
      <w:r w:rsidR="00923EE3" w:rsidRPr="00C35DEE">
        <w:rPr>
          <w:rFonts w:ascii="Arial" w:hAnsi="Arial" w:cs="Arial"/>
          <w:sz w:val="24"/>
          <w:szCs w:val="24"/>
        </w:rPr>
        <w:t>to plan benefits, not the actual dollars paid or out of pocket expenses by the enrollees.</w:t>
      </w:r>
      <w:r w:rsidRPr="00C35DEE">
        <w:rPr>
          <w:rFonts w:ascii="Arial" w:hAnsi="Arial" w:cs="Arial"/>
          <w:sz w:val="24"/>
          <w:szCs w:val="24"/>
        </w:rPr>
        <w:t xml:space="preserve"> </w:t>
      </w:r>
    </w:p>
    <w:p w14:paraId="6BA74461" w14:textId="77777777" w:rsidR="00056E33" w:rsidRPr="00C35DEE" w:rsidRDefault="00056E33" w:rsidP="001F52EC">
      <w:pPr>
        <w:pStyle w:val="ListParagraph"/>
        <w:ind w:left="1446"/>
        <w:rPr>
          <w:rFonts w:ascii="Arial" w:hAnsi="Arial" w:cs="Arial"/>
          <w:sz w:val="24"/>
          <w:szCs w:val="24"/>
        </w:rPr>
      </w:pPr>
    </w:p>
    <w:p w14:paraId="7D714FF1" w14:textId="77777777" w:rsidR="00056E33" w:rsidRPr="00C35DEE" w:rsidRDefault="001F52EC" w:rsidP="001F52EC">
      <w:pPr>
        <w:pStyle w:val="ListParagraph"/>
        <w:ind w:left="1446"/>
        <w:rPr>
          <w:rFonts w:ascii="Arial" w:hAnsi="Arial" w:cs="Arial"/>
          <w:sz w:val="24"/>
          <w:szCs w:val="24"/>
        </w:rPr>
      </w:pPr>
      <w:r w:rsidRPr="00C35DEE">
        <w:rPr>
          <w:rFonts w:ascii="Arial" w:hAnsi="Arial" w:cs="Arial"/>
          <w:sz w:val="24"/>
          <w:szCs w:val="24"/>
        </w:rPr>
        <w:t xml:space="preserve">These individual cost sharing includes </w:t>
      </w:r>
      <w:r w:rsidR="00056E33" w:rsidRPr="00C35DEE">
        <w:rPr>
          <w:rFonts w:ascii="Arial" w:hAnsi="Arial" w:cs="Arial"/>
          <w:sz w:val="24"/>
          <w:szCs w:val="24"/>
        </w:rPr>
        <w:t>the following:</w:t>
      </w:r>
    </w:p>
    <w:p w14:paraId="60A659BF" w14:textId="7876CDFD" w:rsidR="00056E33" w:rsidRPr="00C35DEE" w:rsidRDefault="00056E33" w:rsidP="00056E33">
      <w:pPr>
        <w:pStyle w:val="ListParagraph"/>
        <w:numPr>
          <w:ilvl w:val="0"/>
          <w:numId w:val="29"/>
        </w:numPr>
        <w:rPr>
          <w:rFonts w:ascii="Arial" w:hAnsi="Arial" w:cs="Arial"/>
          <w:sz w:val="24"/>
          <w:szCs w:val="24"/>
        </w:rPr>
      </w:pPr>
      <w:r w:rsidRPr="00C35DEE">
        <w:rPr>
          <w:rFonts w:ascii="Arial" w:hAnsi="Arial" w:cs="Arial"/>
          <w:sz w:val="24"/>
          <w:szCs w:val="24"/>
        </w:rPr>
        <w:t>D</w:t>
      </w:r>
      <w:r w:rsidR="001F52EC" w:rsidRPr="00C35DEE">
        <w:rPr>
          <w:rFonts w:ascii="Arial" w:hAnsi="Arial" w:cs="Arial"/>
          <w:sz w:val="24"/>
          <w:szCs w:val="24"/>
        </w:rPr>
        <w:t xml:space="preserve">eductibles (medical </w:t>
      </w:r>
      <w:r w:rsidR="002C726B" w:rsidRPr="00C35DEE">
        <w:rPr>
          <w:rFonts w:ascii="Arial" w:hAnsi="Arial" w:cs="Arial"/>
          <w:sz w:val="24"/>
          <w:szCs w:val="24"/>
        </w:rPr>
        <w:t>+ Rx</w:t>
      </w:r>
      <w:r w:rsidR="001F52EC" w:rsidRPr="00C35DEE">
        <w:rPr>
          <w:rFonts w:ascii="Arial" w:hAnsi="Arial" w:cs="Arial"/>
          <w:sz w:val="24"/>
          <w:szCs w:val="24"/>
        </w:rPr>
        <w:t xml:space="preserve"> combined), </w:t>
      </w:r>
    </w:p>
    <w:p w14:paraId="3E4D0C20" w14:textId="4684FCF5" w:rsidR="00056E33" w:rsidRPr="00C35DEE" w:rsidRDefault="00056E33" w:rsidP="00056E33">
      <w:pPr>
        <w:pStyle w:val="ListParagraph"/>
        <w:numPr>
          <w:ilvl w:val="0"/>
          <w:numId w:val="29"/>
        </w:numPr>
        <w:rPr>
          <w:rFonts w:ascii="Arial" w:hAnsi="Arial" w:cs="Arial"/>
          <w:sz w:val="24"/>
          <w:szCs w:val="24"/>
        </w:rPr>
      </w:pPr>
      <w:r w:rsidRPr="00C35DEE">
        <w:rPr>
          <w:rFonts w:ascii="Arial" w:hAnsi="Arial" w:cs="Arial"/>
          <w:sz w:val="24"/>
          <w:szCs w:val="24"/>
        </w:rPr>
        <w:t>C</w:t>
      </w:r>
      <w:r w:rsidR="001F52EC" w:rsidRPr="00C35DEE">
        <w:rPr>
          <w:rFonts w:ascii="Arial" w:hAnsi="Arial" w:cs="Arial"/>
          <w:sz w:val="24"/>
          <w:szCs w:val="24"/>
        </w:rPr>
        <w:t xml:space="preserve">oinsurance percentage (hospital inpatient), </w:t>
      </w:r>
    </w:p>
    <w:p w14:paraId="4EF5A8B0" w14:textId="606978D3" w:rsidR="00056E33" w:rsidRPr="00C35DEE" w:rsidRDefault="00056E33" w:rsidP="00056E33">
      <w:pPr>
        <w:pStyle w:val="ListParagraph"/>
        <w:numPr>
          <w:ilvl w:val="0"/>
          <w:numId w:val="29"/>
        </w:numPr>
        <w:rPr>
          <w:rFonts w:ascii="Arial" w:hAnsi="Arial" w:cs="Arial"/>
          <w:sz w:val="24"/>
          <w:szCs w:val="24"/>
        </w:rPr>
      </w:pPr>
      <w:r w:rsidRPr="00C35DEE">
        <w:rPr>
          <w:rFonts w:ascii="Arial" w:hAnsi="Arial" w:cs="Arial"/>
          <w:sz w:val="24"/>
          <w:szCs w:val="24"/>
        </w:rPr>
        <w:t>C</w:t>
      </w:r>
      <w:r w:rsidR="001F52EC" w:rsidRPr="00C35DEE">
        <w:rPr>
          <w:rFonts w:ascii="Arial" w:hAnsi="Arial" w:cs="Arial"/>
          <w:sz w:val="24"/>
          <w:szCs w:val="24"/>
        </w:rPr>
        <w:t>oinsurance percentage (specialty drugs)</w:t>
      </w:r>
      <w:r w:rsidR="002F2D7C">
        <w:rPr>
          <w:rFonts w:ascii="Arial" w:hAnsi="Arial" w:cs="Arial"/>
          <w:sz w:val="24"/>
          <w:szCs w:val="24"/>
        </w:rPr>
        <w:t xml:space="preserve">: </w:t>
      </w:r>
      <w:r w:rsidR="002F2D7C" w:rsidRPr="00CB7119">
        <w:rPr>
          <w:rStyle w:val="ui-provider"/>
          <w:rFonts w:ascii="Arial" w:hAnsi="Arial" w:cs="Arial"/>
          <w:sz w:val="24"/>
          <w:szCs w:val="24"/>
        </w:rPr>
        <w:t>If a health plan</w:t>
      </w:r>
      <w:r w:rsidR="002F2D7C">
        <w:rPr>
          <w:rStyle w:val="ui-provider"/>
          <w:rFonts w:ascii="Arial" w:hAnsi="Arial" w:cs="Arial"/>
          <w:sz w:val="24"/>
          <w:szCs w:val="24"/>
        </w:rPr>
        <w:t xml:space="preserve"> or </w:t>
      </w:r>
      <w:r w:rsidR="00610F24">
        <w:rPr>
          <w:rStyle w:val="ui-provider"/>
          <w:rFonts w:ascii="Arial" w:hAnsi="Arial" w:cs="Arial"/>
          <w:sz w:val="24"/>
          <w:szCs w:val="24"/>
        </w:rPr>
        <w:t xml:space="preserve">a </w:t>
      </w:r>
      <w:r w:rsidR="002F2D7C">
        <w:rPr>
          <w:rStyle w:val="ui-provider"/>
          <w:rFonts w:ascii="Arial" w:hAnsi="Arial" w:cs="Arial"/>
          <w:sz w:val="24"/>
          <w:szCs w:val="24"/>
        </w:rPr>
        <w:t xml:space="preserve">health </w:t>
      </w:r>
      <w:r w:rsidR="00E45D38" w:rsidRPr="00C35DEE">
        <w:rPr>
          <w:rFonts w:ascii="Arial" w:hAnsi="Arial" w:cs="Arial"/>
          <w:color w:val="000000" w:themeColor="text1"/>
          <w:sz w:val="24"/>
          <w:szCs w:val="24"/>
        </w:rPr>
        <w:t>insurer</w:t>
      </w:r>
      <w:r w:rsidR="002F2D7C" w:rsidRPr="00CB7119">
        <w:rPr>
          <w:rStyle w:val="ui-provider"/>
          <w:rFonts w:ascii="Arial" w:hAnsi="Arial" w:cs="Arial"/>
          <w:sz w:val="24"/>
          <w:szCs w:val="24"/>
        </w:rPr>
        <w:t xml:space="preserve"> has only copays for specialty drugs, a health plan</w:t>
      </w:r>
      <w:r w:rsidR="00610F24">
        <w:rPr>
          <w:rStyle w:val="ui-provider"/>
          <w:rFonts w:ascii="Arial" w:hAnsi="Arial" w:cs="Arial"/>
          <w:sz w:val="24"/>
          <w:szCs w:val="24"/>
        </w:rPr>
        <w:t xml:space="preserve"> or a health insurer</w:t>
      </w:r>
      <w:r w:rsidR="002F2D7C" w:rsidRPr="00CB7119">
        <w:rPr>
          <w:rStyle w:val="ui-provider"/>
          <w:rFonts w:ascii="Arial" w:hAnsi="Arial" w:cs="Arial"/>
          <w:sz w:val="24"/>
          <w:szCs w:val="24"/>
        </w:rPr>
        <w:t xml:space="preserve"> may divide the copay amount by the average retail price of the specialty drugs to convert to an effective coinsurance percentage to populate this form</w:t>
      </w:r>
      <w:r w:rsidR="00610F24">
        <w:rPr>
          <w:rStyle w:val="ui-provider"/>
          <w:rFonts w:ascii="Arial" w:hAnsi="Arial" w:cs="Arial"/>
          <w:sz w:val="24"/>
          <w:szCs w:val="24"/>
        </w:rPr>
        <w:t>,</w:t>
      </w:r>
      <w:r w:rsidR="001F52EC" w:rsidRPr="00C35DEE">
        <w:rPr>
          <w:rFonts w:ascii="Arial" w:hAnsi="Arial" w:cs="Arial"/>
          <w:sz w:val="24"/>
          <w:szCs w:val="24"/>
        </w:rPr>
        <w:t xml:space="preserve"> </w:t>
      </w:r>
    </w:p>
    <w:p w14:paraId="7E92A36B" w14:textId="20863584" w:rsidR="00056E33" w:rsidRPr="00C35DEE" w:rsidRDefault="00056E33" w:rsidP="00056E33">
      <w:pPr>
        <w:pStyle w:val="ListParagraph"/>
        <w:numPr>
          <w:ilvl w:val="0"/>
          <w:numId w:val="29"/>
        </w:numPr>
        <w:rPr>
          <w:rFonts w:ascii="Arial" w:hAnsi="Arial" w:cs="Arial"/>
          <w:sz w:val="24"/>
          <w:szCs w:val="24"/>
        </w:rPr>
      </w:pPr>
      <w:r w:rsidRPr="00C35DEE">
        <w:rPr>
          <w:rFonts w:ascii="Arial" w:hAnsi="Arial" w:cs="Arial"/>
          <w:sz w:val="24"/>
          <w:szCs w:val="24"/>
        </w:rPr>
        <w:t>C</w:t>
      </w:r>
      <w:r w:rsidR="001F52EC" w:rsidRPr="00C35DEE">
        <w:rPr>
          <w:rFonts w:ascii="Arial" w:hAnsi="Arial" w:cs="Arial"/>
          <w:sz w:val="24"/>
          <w:szCs w:val="24"/>
        </w:rPr>
        <w:t xml:space="preserve">opayment for primary doctor visits and specialist visits (composite), </w:t>
      </w:r>
    </w:p>
    <w:p w14:paraId="049608CA" w14:textId="5D2B92F6" w:rsidR="00056E33" w:rsidRPr="00C35DEE" w:rsidRDefault="00056E33" w:rsidP="00056E33">
      <w:pPr>
        <w:pStyle w:val="ListParagraph"/>
        <w:numPr>
          <w:ilvl w:val="0"/>
          <w:numId w:val="29"/>
        </w:numPr>
        <w:rPr>
          <w:rFonts w:ascii="Arial" w:hAnsi="Arial" w:cs="Arial"/>
          <w:sz w:val="24"/>
          <w:szCs w:val="24"/>
        </w:rPr>
      </w:pPr>
      <w:r w:rsidRPr="00C35DEE">
        <w:rPr>
          <w:rFonts w:ascii="Arial" w:hAnsi="Arial" w:cs="Arial"/>
          <w:sz w:val="24"/>
          <w:szCs w:val="24"/>
        </w:rPr>
        <w:t>A</w:t>
      </w:r>
      <w:r w:rsidR="001F52EC" w:rsidRPr="00C35DEE">
        <w:rPr>
          <w:rFonts w:ascii="Arial" w:hAnsi="Arial" w:cs="Arial"/>
          <w:sz w:val="24"/>
          <w:szCs w:val="24"/>
        </w:rPr>
        <w:t>verage cost</w:t>
      </w:r>
      <w:r w:rsidR="00923EE3" w:rsidRPr="00C35DEE">
        <w:rPr>
          <w:rFonts w:ascii="Arial" w:hAnsi="Arial" w:cs="Arial"/>
          <w:sz w:val="24"/>
          <w:szCs w:val="24"/>
        </w:rPr>
        <w:t xml:space="preserve"> </w:t>
      </w:r>
      <w:r w:rsidR="001F52EC" w:rsidRPr="00C35DEE">
        <w:rPr>
          <w:rFonts w:ascii="Arial" w:hAnsi="Arial" w:cs="Arial"/>
          <w:sz w:val="24"/>
          <w:szCs w:val="24"/>
        </w:rPr>
        <w:t xml:space="preserve">sharing for brand name drugs, </w:t>
      </w:r>
    </w:p>
    <w:p w14:paraId="2ECFDACC" w14:textId="64EB6202" w:rsidR="00056E33" w:rsidRPr="00C35DEE" w:rsidRDefault="00056E33" w:rsidP="00056E33">
      <w:pPr>
        <w:pStyle w:val="ListParagraph"/>
        <w:numPr>
          <w:ilvl w:val="0"/>
          <w:numId w:val="29"/>
        </w:numPr>
        <w:rPr>
          <w:rFonts w:ascii="Arial" w:hAnsi="Arial" w:cs="Arial"/>
          <w:sz w:val="24"/>
          <w:szCs w:val="24"/>
        </w:rPr>
      </w:pPr>
      <w:r w:rsidRPr="00C35DEE">
        <w:rPr>
          <w:rFonts w:ascii="Arial" w:hAnsi="Arial" w:cs="Arial"/>
          <w:sz w:val="24"/>
          <w:szCs w:val="24"/>
        </w:rPr>
        <w:t>I</w:t>
      </w:r>
      <w:r w:rsidR="001F52EC" w:rsidRPr="00C35DEE">
        <w:rPr>
          <w:rFonts w:ascii="Arial" w:hAnsi="Arial" w:cs="Arial"/>
          <w:sz w:val="24"/>
          <w:szCs w:val="24"/>
        </w:rPr>
        <w:t>ndividual out of pocket maximum (medical</w:t>
      </w:r>
      <w:r w:rsidR="002C726B" w:rsidRPr="00C35DEE">
        <w:rPr>
          <w:rFonts w:ascii="Arial" w:hAnsi="Arial" w:cs="Arial"/>
          <w:sz w:val="24"/>
          <w:szCs w:val="24"/>
        </w:rPr>
        <w:t xml:space="preserve"> +</w:t>
      </w:r>
      <w:r w:rsidR="001F52EC" w:rsidRPr="00C35DEE">
        <w:rPr>
          <w:rFonts w:ascii="Arial" w:hAnsi="Arial" w:cs="Arial"/>
          <w:sz w:val="24"/>
          <w:szCs w:val="24"/>
        </w:rPr>
        <w:t xml:space="preserve"> </w:t>
      </w:r>
      <w:r w:rsidR="002C726B" w:rsidRPr="00C35DEE">
        <w:rPr>
          <w:rFonts w:ascii="Arial" w:hAnsi="Arial" w:cs="Arial"/>
          <w:sz w:val="24"/>
          <w:szCs w:val="24"/>
        </w:rPr>
        <w:t>Rx</w:t>
      </w:r>
      <w:r w:rsidR="001F52EC" w:rsidRPr="00C35DEE">
        <w:rPr>
          <w:rFonts w:ascii="Arial" w:hAnsi="Arial" w:cs="Arial"/>
          <w:sz w:val="24"/>
          <w:szCs w:val="24"/>
        </w:rPr>
        <w:t xml:space="preserve"> combined in-network only) and </w:t>
      </w:r>
    </w:p>
    <w:p w14:paraId="42D2D4EE" w14:textId="0A036F6A" w:rsidR="00056E33" w:rsidRPr="00C35DEE" w:rsidRDefault="00056E33" w:rsidP="00923EE3">
      <w:pPr>
        <w:pStyle w:val="ListParagraph"/>
        <w:numPr>
          <w:ilvl w:val="0"/>
          <w:numId w:val="29"/>
        </w:numPr>
        <w:rPr>
          <w:rFonts w:ascii="Arial" w:hAnsi="Arial" w:cs="Arial"/>
          <w:sz w:val="24"/>
          <w:szCs w:val="24"/>
        </w:rPr>
      </w:pPr>
      <w:r w:rsidRPr="00C35DEE">
        <w:rPr>
          <w:rFonts w:ascii="Arial" w:hAnsi="Arial" w:cs="Arial"/>
          <w:sz w:val="24"/>
          <w:szCs w:val="24"/>
        </w:rPr>
        <w:t>F</w:t>
      </w:r>
      <w:r w:rsidR="001F52EC" w:rsidRPr="00C35DEE">
        <w:rPr>
          <w:rFonts w:ascii="Arial" w:hAnsi="Arial" w:cs="Arial"/>
          <w:sz w:val="24"/>
          <w:szCs w:val="24"/>
        </w:rPr>
        <w:t xml:space="preserve">amily out of pocket maximum (medical </w:t>
      </w:r>
      <w:r w:rsidR="002C726B" w:rsidRPr="00C35DEE">
        <w:rPr>
          <w:rFonts w:ascii="Arial" w:hAnsi="Arial" w:cs="Arial"/>
          <w:sz w:val="24"/>
          <w:szCs w:val="24"/>
        </w:rPr>
        <w:t>+</w:t>
      </w:r>
      <w:r w:rsidR="001F52EC" w:rsidRPr="00C35DEE">
        <w:rPr>
          <w:rFonts w:ascii="Arial" w:hAnsi="Arial" w:cs="Arial"/>
          <w:sz w:val="24"/>
          <w:szCs w:val="24"/>
        </w:rPr>
        <w:t xml:space="preserve"> </w:t>
      </w:r>
      <w:r w:rsidR="002C726B" w:rsidRPr="00C35DEE">
        <w:rPr>
          <w:rFonts w:ascii="Arial" w:hAnsi="Arial" w:cs="Arial"/>
          <w:sz w:val="24"/>
          <w:szCs w:val="24"/>
        </w:rPr>
        <w:t>Rx</w:t>
      </w:r>
      <w:r w:rsidR="001F52EC" w:rsidRPr="00C35DEE">
        <w:rPr>
          <w:rFonts w:ascii="Arial" w:hAnsi="Arial" w:cs="Arial"/>
          <w:sz w:val="24"/>
          <w:szCs w:val="24"/>
        </w:rPr>
        <w:t xml:space="preserve"> combined in-network only).</w:t>
      </w:r>
    </w:p>
    <w:p w14:paraId="0BCC30EC" w14:textId="77777777" w:rsidR="002F7BDD" w:rsidRPr="00C35DEE" w:rsidRDefault="00B96DE9" w:rsidP="003B6C7D">
      <w:pPr>
        <w:pStyle w:val="Default"/>
        <w:numPr>
          <w:ilvl w:val="0"/>
          <w:numId w:val="25"/>
        </w:numPr>
        <w:spacing w:after="240"/>
        <w:rPr>
          <w:color w:val="000000" w:themeColor="text1"/>
        </w:rPr>
      </w:pPr>
      <w:proofErr w:type="gramStart"/>
      <w:r w:rsidRPr="00C35DEE">
        <w:rPr>
          <w:color w:val="000000" w:themeColor="text1"/>
        </w:rPr>
        <w:t>Benefit</w:t>
      </w:r>
      <w:r w:rsidR="002F7BDD" w:rsidRPr="00C35DEE">
        <w:rPr>
          <w:color w:val="000000" w:themeColor="text1"/>
        </w:rPr>
        <w:t>;</w:t>
      </w:r>
      <w:proofErr w:type="gramEnd"/>
    </w:p>
    <w:p w14:paraId="337D7E84" w14:textId="73883829" w:rsidR="002F7BDD" w:rsidRPr="00C35DEE" w:rsidRDefault="00B96DE9" w:rsidP="003B6C7D">
      <w:pPr>
        <w:pStyle w:val="Default"/>
        <w:numPr>
          <w:ilvl w:val="0"/>
          <w:numId w:val="25"/>
        </w:numPr>
        <w:spacing w:after="240"/>
        <w:rPr>
          <w:color w:val="000000" w:themeColor="text1"/>
        </w:rPr>
      </w:pPr>
      <w:r w:rsidRPr="00C35DEE">
        <w:rPr>
          <w:color w:val="000000" w:themeColor="text1"/>
        </w:rPr>
        <w:t>Benefit Design</w:t>
      </w:r>
      <w:r w:rsidR="00F65616" w:rsidRPr="00C35DEE">
        <w:rPr>
          <w:color w:val="000000" w:themeColor="text1"/>
        </w:rPr>
        <w:t xml:space="preserve"> –</w:t>
      </w:r>
      <w:r w:rsidR="0094539F" w:rsidRPr="00C35DEE">
        <w:rPr>
          <w:color w:val="000000" w:themeColor="text1"/>
        </w:rPr>
        <w:t xml:space="preserve"> </w:t>
      </w:r>
      <w:r w:rsidR="00F65616" w:rsidRPr="00C35DEE">
        <w:rPr>
          <w:color w:val="000000" w:themeColor="text1"/>
        </w:rPr>
        <w:t xml:space="preserve">Covered </w:t>
      </w:r>
      <w:proofErr w:type="gramStart"/>
      <w:r w:rsidR="00294C32" w:rsidRPr="00C35DEE">
        <w:rPr>
          <w:color w:val="000000" w:themeColor="text1"/>
        </w:rPr>
        <w:t>B</w:t>
      </w:r>
      <w:r w:rsidR="00F65616" w:rsidRPr="00C35DEE">
        <w:rPr>
          <w:color w:val="000000" w:themeColor="text1"/>
        </w:rPr>
        <w:t>enefits</w:t>
      </w:r>
      <w:r w:rsidR="00A52B6B" w:rsidRPr="00C35DEE">
        <w:rPr>
          <w:color w:val="000000" w:themeColor="text1"/>
        </w:rPr>
        <w:t>;</w:t>
      </w:r>
      <w:proofErr w:type="gramEnd"/>
    </w:p>
    <w:p w14:paraId="706B4AF1" w14:textId="25866FDA" w:rsidR="002F7BDD" w:rsidRPr="00C35DEE" w:rsidRDefault="00B96DE9" w:rsidP="00B63B70">
      <w:pPr>
        <w:pStyle w:val="Default"/>
        <w:numPr>
          <w:ilvl w:val="0"/>
          <w:numId w:val="25"/>
        </w:numPr>
        <w:spacing w:after="240"/>
        <w:rPr>
          <w:color w:val="000000" w:themeColor="text1"/>
        </w:rPr>
      </w:pPr>
      <w:bookmarkStart w:id="1" w:name="_Hlk72821131"/>
      <w:proofErr w:type="gramStart"/>
      <w:r w:rsidRPr="00C35DEE">
        <w:rPr>
          <w:color w:val="000000" w:themeColor="text1"/>
        </w:rPr>
        <w:t>Enrollment</w:t>
      </w:r>
      <w:r w:rsidR="002F7BDD" w:rsidRPr="00C35DEE">
        <w:rPr>
          <w:color w:val="000000" w:themeColor="text1"/>
        </w:rPr>
        <w:t>;</w:t>
      </w:r>
      <w:proofErr w:type="gramEnd"/>
      <w:r w:rsidR="004425A4" w:rsidRPr="00C35DEE">
        <w:rPr>
          <w:color w:val="000000" w:themeColor="text1"/>
        </w:rPr>
        <w:t xml:space="preserve"> </w:t>
      </w:r>
      <w:bookmarkStart w:id="2" w:name="_Hlk72820679"/>
      <w:r w:rsidR="006767B6" w:rsidRPr="00C35DEE">
        <w:t xml:space="preserve">Effective January 1, 2023, the </w:t>
      </w:r>
      <w:r w:rsidR="00930D5E" w:rsidRPr="00C35DEE">
        <w:rPr>
          <w:rFonts w:eastAsia="Times New Roman"/>
        </w:rPr>
        <w:t xml:space="preserve">enrollment by benefit design, deductible, or share of premium </w:t>
      </w:r>
      <w:r w:rsidR="00930D5E" w:rsidRPr="00C35DEE">
        <w:t xml:space="preserve">information is </w:t>
      </w:r>
      <w:r w:rsidR="006767B6" w:rsidRPr="00C35DEE">
        <w:t>required pursuant to Section 1385.043 of the California Health and Safety Code</w:t>
      </w:r>
      <w:r w:rsidR="009F224D" w:rsidRPr="00C35DEE">
        <w:t xml:space="preserve"> </w:t>
      </w:r>
      <w:r w:rsidR="00C13CA9" w:rsidRPr="00C35DEE">
        <w:t>and Section 10181.46</w:t>
      </w:r>
      <w:r w:rsidR="00EA7111">
        <w:t xml:space="preserve"> </w:t>
      </w:r>
      <w:r w:rsidR="00C13CA9" w:rsidRPr="00C35DEE">
        <w:t>of the California</w:t>
      </w:r>
      <w:r w:rsidR="009F224D" w:rsidRPr="00C35DEE">
        <w:t xml:space="preserve"> Insurance Code</w:t>
      </w:r>
      <w:r w:rsidR="00B63B70" w:rsidRPr="00C35DEE">
        <w:rPr>
          <w:rFonts w:eastAsia="Times New Roman"/>
        </w:rPr>
        <w:t xml:space="preserve">. </w:t>
      </w:r>
    </w:p>
    <w:bookmarkEnd w:id="1"/>
    <w:bookmarkEnd w:id="2"/>
    <w:p w14:paraId="5F26FA35" w14:textId="5C258267" w:rsidR="002F7BDD" w:rsidRPr="00C35DEE" w:rsidRDefault="00B96DE9" w:rsidP="003B6C7D">
      <w:pPr>
        <w:pStyle w:val="Default"/>
        <w:numPr>
          <w:ilvl w:val="0"/>
          <w:numId w:val="25"/>
        </w:numPr>
        <w:spacing w:after="240"/>
        <w:rPr>
          <w:color w:val="000000" w:themeColor="text1"/>
        </w:rPr>
      </w:pPr>
      <w:r w:rsidRPr="00C35DEE">
        <w:rPr>
          <w:color w:val="000000" w:themeColor="text1"/>
        </w:rPr>
        <w:lastRenderedPageBreak/>
        <w:t>Trend</w:t>
      </w:r>
      <w:r w:rsidR="00F65616" w:rsidRPr="00C35DEE">
        <w:rPr>
          <w:color w:val="000000" w:themeColor="text1"/>
        </w:rPr>
        <w:t xml:space="preserve"> – Before </w:t>
      </w:r>
      <w:r w:rsidR="00A56293" w:rsidRPr="00C35DEE">
        <w:rPr>
          <w:color w:val="000000" w:themeColor="text1"/>
        </w:rPr>
        <w:t>or</w:t>
      </w:r>
      <w:r w:rsidR="00F65616" w:rsidRPr="00C35DEE">
        <w:rPr>
          <w:color w:val="000000" w:themeColor="text1"/>
        </w:rPr>
        <w:t xml:space="preserve"> After Normalization for Demographic</w:t>
      </w:r>
      <w:r w:rsidR="00336B08" w:rsidRPr="00C35DEE">
        <w:rPr>
          <w:color w:val="000000" w:themeColor="text1"/>
        </w:rPr>
        <w:t xml:space="preserve">, Plan </w:t>
      </w:r>
      <w:proofErr w:type="gramStart"/>
      <w:r w:rsidR="00336B08" w:rsidRPr="00C35DEE">
        <w:rPr>
          <w:color w:val="000000" w:themeColor="text1"/>
        </w:rPr>
        <w:t>Mix</w:t>
      </w:r>
      <w:proofErr w:type="gramEnd"/>
      <w:r w:rsidR="00336B08" w:rsidRPr="00C35DEE">
        <w:rPr>
          <w:color w:val="000000" w:themeColor="text1"/>
        </w:rPr>
        <w:t xml:space="preserve"> and other</w:t>
      </w:r>
      <w:r w:rsidR="00F65616" w:rsidRPr="00C35DEE">
        <w:rPr>
          <w:color w:val="000000" w:themeColor="text1"/>
        </w:rPr>
        <w:t xml:space="preserve"> Changes</w:t>
      </w:r>
      <w:r w:rsidR="00935414" w:rsidRPr="00C35DEE">
        <w:rPr>
          <w:color w:val="000000" w:themeColor="text1"/>
        </w:rPr>
        <w:t xml:space="preserve">. Specify if the trend has been normalized for demographic changes by selecting “Before” or “After” </w:t>
      </w:r>
      <w:r w:rsidR="00A56293" w:rsidRPr="00C35DEE">
        <w:rPr>
          <w:color w:val="000000" w:themeColor="text1"/>
        </w:rPr>
        <w:t xml:space="preserve">in the drop-down </w:t>
      </w:r>
      <w:r w:rsidR="005A41FF" w:rsidRPr="00C35DEE">
        <w:rPr>
          <w:color w:val="000000" w:themeColor="text1"/>
        </w:rPr>
        <w:t>boxes</w:t>
      </w:r>
      <w:r w:rsidR="00A56293" w:rsidRPr="00C35DEE">
        <w:rPr>
          <w:color w:val="000000" w:themeColor="text1"/>
        </w:rPr>
        <w:t xml:space="preserve"> </w:t>
      </w:r>
      <w:r w:rsidR="00935414" w:rsidRPr="00C35DEE">
        <w:rPr>
          <w:color w:val="000000" w:themeColor="text1"/>
        </w:rPr>
        <w:t>and filling in the appropriate information.</w:t>
      </w:r>
    </w:p>
    <w:p w14:paraId="7559AA6D" w14:textId="36A8FD99" w:rsidR="00336B08" w:rsidRPr="00C35DEE" w:rsidRDefault="005C6B7C" w:rsidP="00336B08">
      <w:pPr>
        <w:pStyle w:val="Default"/>
        <w:numPr>
          <w:ilvl w:val="1"/>
          <w:numId w:val="25"/>
        </w:numPr>
        <w:spacing w:after="240"/>
        <w:rPr>
          <w:color w:val="000000" w:themeColor="text1"/>
        </w:rPr>
      </w:pPr>
      <w:r w:rsidRPr="00C35DEE">
        <w:rPr>
          <w:color w:val="000000" w:themeColor="text1"/>
        </w:rPr>
        <w:t>Health i</w:t>
      </w:r>
      <w:r w:rsidR="00336B08" w:rsidRPr="00C35DEE">
        <w:rPr>
          <w:color w:val="000000" w:themeColor="text1"/>
        </w:rPr>
        <w:t>nsurers should leave the cells marked “capitation” blank.</w:t>
      </w:r>
    </w:p>
    <w:p w14:paraId="7B69B54F" w14:textId="52F51458" w:rsidR="00E67FEE" w:rsidRPr="00C35DEE" w:rsidRDefault="00E67FEE" w:rsidP="0068322A">
      <w:pPr>
        <w:pStyle w:val="Default"/>
        <w:numPr>
          <w:ilvl w:val="0"/>
          <w:numId w:val="25"/>
        </w:numPr>
        <w:ind w:left="1440"/>
        <w:rPr>
          <w:color w:val="000000" w:themeColor="text1"/>
        </w:rPr>
      </w:pPr>
      <w:r w:rsidRPr="00C35DEE">
        <w:rPr>
          <w:color w:val="000000" w:themeColor="text1"/>
        </w:rPr>
        <w:t xml:space="preserve">CA Aggregate Form – </w:t>
      </w:r>
      <w:r w:rsidR="001D32D9" w:rsidRPr="00C35DEE">
        <w:rPr>
          <w:color w:val="000000" w:themeColor="text1"/>
        </w:rPr>
        <w:t xml:space="preserve">Health Plans and Health Insurers </w:t>
      </w:r>
      <w:r w:rsidR="00645D75" w:rsidRPr="00C35DEE">
        <w:rPr>
          <w:color w:val="000000" w:themeColor="text1"/>
        </w:rPr>
        <w:t>must include</w:t>
      </w:r>
      <w:r w:rsidR="001D32D9" w:rsidRPr="00C35DEE">
        <w:rPr>
          <w:color w:val="000000" w:themeColor="text1"/>
        </w:rPr>
        <w:t xml:space="preserve"> information on </w:t>
      </w:r>
      <w:r w:rsidR="00F15905" w:rsidRPr="00C35DEE">
        <w:rPr>
          <w:color w:val="000000" w:themeColor="text1"/>
        </w:rPr>
        <w:t xml:space="preserve">cost containment and quality improvement efforts and </w:t>
      </w:r>
      <w:r w:rsidR="001D32D9" w:rsidRPr="00C35DEE">
        <w:rPr>
          <w:color w:val="000000" w:themeColor="text1"/>
        </w:rPr>
        <w:t>product type by number of filings, percentage of total filings, number of subscribers, number of covered lives affected and average percent rate increase</w:t>
      </w:r>
      <w:r w:rsidR="000A55D9" w:rsidRPr="00C35DEE">
        <w:rPr>
          <w:color w:val="000000" w:themeColor="text1"/>
        </w:rPr>
        <w:t>.</w:t>
      </w:r>
    </w:p>
    <w:p w14:paraId="128ABF1F" w14:textId="77777777" w:rsidR="00E67FEE" w:rsidRPr="00C35DEE" w:rsidRDefault="00E67FEE" w:rsidP="00E67FEE">
      <w:pPr>
        <w:pStyle w:val="Default"/>
        <w:ind w:left="1440"/>
        <w:rPr>
          <w:color w:val="000000" w:themeColor="text1"/>
        </w:rPr>
      </w:pPr>
    </w:p>
    <w:p w14:paraId="0BEC1C60" w14:textId="27337058" w:rsidR="0068322A" w:rsidRPr="00C35DEE" w:rsidRDefault="00B96DE9" w:rsidP="0068322A">
      <w:pPr>
        <w:pStyle w:val="Default"/>
        <w:numPr>
          <w:ilvl w:val="0"/>
          <w:numId w:val="25"/>
        </w:numPr>
        <w:ind w:left="1440"/>
        <w:rPr>
          <w:color w:val="000000" w:themeColor="text1"/>
        </w:rPr>
      </w:pPr>
      <w:r w:rsidRPr="00C35DEE">
        <w:rPr>
          <w:color w:val="000000" w:themeColor="text1"/>
        </w:rPr>
        <w:t>Explanation</w:t>
      </w:r>
      <w:r w:rsidR="003811B9" w:rsidRPr="00C35DEE">
        <w:rPr>
          <w:color w:val="000000" w:themeColor="text1"/>
        </w:rPr>
        <w:t xml:space="preserve"> – </w:t>
      </w:r>
      <w:r w:rsidR="0068322A" w:rsidRPr="00C35DEE">
        <w:rPr>
          <w:color w:val="000000" w:themeColor="text1"/>
        </w:rPr>
        <w:t>A</w:t>
      </w:r>
      <w:r w:rsidR="00BC3D88" w:rsidRPr="00C35DEE">
        <w:rPr>
          <w:color w:val="000000" w:themeColor="text1"/>
        </w:rPr>
        <w:t>dditional explanation</w:t>
      </w:r>
      <w:r w:rsidR="00712788" w:rsidRPr="00C35DEE">
        <w:rPr>
          <w:color w:val="000000" w:themeColor="text1"/>
        </w:rPr>
        <w:t>s</w:t>
      </w:r>
      <w:r w:rsidR="00BC3D88" w:rsidRPr="00C35DEE">
        <w:rPr>
          <w:color w:val="000000" w:themeColor="text1"/>
        </w:rPr>
        <w:t xml:space="preserve"> and supporting </w:t>
      </w:r>
      <w:proofErr w:type="gramStart"/>
      <w:r w:rsidR="00BC3D88" w:rsidRPr="00C35DEE">
        <w:rPr>
          <w:color w:val="000000" w:themeColor="text1"/>
        </w:rPr>
        <w:t>information</w:t>
      </w:r>
      <w:proofErr w:type="gramEnd"/>
    </w:p>
    <w:p w14:paraId="7C093D41" w14:textId="77777777" w:rsidR="002F7BDD" w:rsidRPr="00C35DEE" w:rsidRDefault="0068322A" w:rsidP="006023CC">
      <w:pPr>
        <w:pStyle w:val="Default"/>
        <w:spacing w:after="240"/>
        <w:ind w:left="1440"/>
        <w:rPr>
          <w:color w:val="000000" w:themeColor="text1"/>
        </w:rPr>
      </w:pPr>
      <w:r w:rsidRPr="00C35DEE">
        <w:rPr>
          <w:color w:val="000000" w:themeColor="text1"/>
        </w:rPr>
        <w:t>Additional explanation</w:t>
      </w:r>
      <w:r w:rsidR="00712788" w:rsidRPr="00C35DEE">
        <w:rPr>
          <w:color w:val="000000" w:themeColor="text1"/>
        </w:rPr>
        <w:t>s</w:t>
      </w:r>
      <w:r w:rsidRPr="00C35DEE">
        <w:rPr>
          <w:color w:val="000000" w:themeColor="text1"/>
        </w:rPr>
        <w:t xml:space="preserve"> </w:t>
      </w:r>
      <w:r w:rsidR="006023CC" w:rsidRPr="00C35DEE">
        <w:rPr>
          <w:color w:val="000000" w:themeColor="text1"/>
        </w:rPr>
        <w:t>must be disclosed</w:t>
      </w:r>
      <w:r w:rsidRPr="00C35DEE">
        <w:rPr>
          <w:color w:val="000000" w:themeColor="text1"/>
        </w:rPr>
        <w:t xml:space="preserve"> in the </w:t>
      </w:r>
      <w:r w:rsidR="006023CC" w:rsidRPr="00C35DEE">
        <w:rPr>
          <w:color w:val="000000" w:themeColor="text1"/>
        </w:rPr>
        <w:t>“</w:t>
      </w:r>
      <w:r w:rsidRPr="00C35DEE">
        <w:rPr>
          <w:color w:val="000000" w:themeColor="text1"/>
        </w:rPr>
        <w:t>Explanation</w:t>
      </w:r>
      <w:r w:rsidR="006023CC" w:rsidRPr="00C35DEE">
        <w:rPr>
          <w:color w:val="000000" w:themeColor="text1"/>
        </w:rPr>
        <w:t>”</w:t>
      </w:r>
      <w:r w:rsidRPr="00C35DEE">
        <w:rPr>
          <w:color w:val="000000" w:themeColor="text1"/>
        </w:rPr>
        <w:t xml:space="preserve"> tab of the workbook. Attachments to </w:t>
      </w:r>
      <w:r w:rsidR="006023CC" w:rsidRPr="00C35DEE">
        <w:rPr>
          <w:color w:val="000000" w:themeColor="text1"/>
        </w:rPr>
        <w:t>support the Health Plans or Health Insurers</w:t>
      </w:r>
      <w:r w:rsidR="00082260" w:rsidRPr="00C35DEE">
        <w:rPr>
          <w:color w:val="000000" w:themeColor="text1"/>
        </w:rPr>
        <w:t>’</w:t>
      </w:r>
      <w:r w:rsidR="006023CC" w:rsidRPr="00C35DEE">
        <w:rPr>
          <w:color w:val="000000" w:themeColor="text1"/>
        </w:rPr>
        <w:t xml:space="preserve"> </w:t>
      </w:r>
      <w:r w:rsidRPr="00C35DEE">
        <w:rPr>
          <w:color w:val="000000" w:themeColor="text1"/>
        </w:rPr>
        <w:t>explanation</w:t>
      </w:r>
      <w:r w:rsidR="007733B8" w:rsidRPr="00C35DEE">
        <w:rPr>
          <w:color w:val="000000" w:themeColor="text1"/>
        </w:rPr>
        <w:t>s</w:t>
      </w:r>
      <w:r w:rsidRPr="00C35DEE">
        <w:rPr>
          <w:color w:val="000000" w:themeColor="text1"/>
        </w:rPr>
        <w:t xml:space="preserve"> </w:t>
      </w:r>
      <w:r w:rsidR="006023CC" w:rsidRPr="00C35DEE">
        <w:rPr>
          <w:color w:val="000000" w:themeColor="text1"/>
        </w:rPr>
        <w:t xml:space="preserve">must be submitted </w:t>
      </w:r>
      <w:r w:rsidRPr="00C35DEE">
        <w:rPr>
          <w:color w:val="000000" w:themeColor="text1"/>
        </w:rPr>
        <w:t>under the “Supporting Documentation” tab in S</w:t>
      </w:r>
      <w:r w:rsidR="006023CC" w:rsidRPr="00C35DEE">
        <w:rPr>
          <w:color w:val="000000" w:themeColor="text1"/>
        </w:rPr>
        <w:t>ERFF.</w:t>
      </w:r>
    </w:p>
    <w:p w14:paraId="097FD12A" w14:textId="77777777" w:rsidR="00BC3D88" w:rsidRPr="00C35DEE" w:rsidRDefault="00A811EE" w:rsidP="00BC3D88">
      <w:pPr>
        <w:pStyle w:val="Default"/>
        <w:numPr>
          <w:ilvl w:val="0"/>
          <w:numId w:val="25"/>
        </w:numPr>
        <w:spacing w:after="240"/>
        <w:rPr>
          <w:color w:val="000000" w:themeColor="text1"/>
        </w:rPr>
      </w:pPr>
      <w:r w:rsidRPr="00C35DEE">
        <w:rPr>
          <w:color w:val="000000" w:themeColor="text1"/>
        </w:rPr>
        <w:t xml:space="preserve"> </w:t>
      </w:r>
      <w:r w:rsidR="00BC3D88" w:rsidRPr="00C35DEE">
        <w:rPr>
          <w:color w:val="000000" w:themeColor="text1"/>
        </w:rPr>
        <w:t>Glossary – Terminology.</w:t>
      </w:r>
    </w:p>
    <w:p w14:paraId="5B244745" w14:textId="4BB19609" w:rsidR="00935414" w:rsidRPr="00C35DEE" w:rsidRDefault="00F86800" w:rsidP="009D4D6A">
      <w:pPr>
        <w:pStyle w:val="Default"/>
        <w:spacing w:after="240"/>
        <w:ind w:left="360"/>
        <w:rPr>
          <w:color w:val="000000" w:themeColor="text1"/>
        </w:rPr>
      </w:pPr>
      <w:bookmarkStart w:id="3" w:name="_Hlk66961277"/>
      <w:r w:rsidRPr="00C35DEE">
        <w:rPr>
          <w:color w:val="000000" w:themeColor="text1"/>
        </w:rPr>
        <w:t>The “</w:t>
      </w:r>
      <w:r w:rsidR="00B9465B" w:rsidRPr="00C35DEE">
        <w:rPr>
          <w:color w:val="000000" w:themeColor="text1"/>
        </w:rPr>
        <w:t>Individual Annual Aggregate</w:t>
      </w:r>
      <w:r w:rsidRPr="00C35DEE">
        <w:rPr>
          <w:color w:val="000000" w:themeColor="text1"/>
        </w:rPr>
        <w:t xml:space="preserve"> </w:t>
      </w:r>
      <w:r w:rsidR="00727B6F" w:rsidRPr="00C35DEE">
        <w:rPr>
          <w:color w:val="000000" w:themeColor="text1"/>
        </w:rPr>
        <w:t xml:space="preserve">Rate </w:t>
      </w:r>
      <w:r w:rsidRPr="00C35DEE">
        <w:rPr>
          <w:color w:val="000000" w:themeColor="text1"/>
        </w:rPr>
        <w:t>Workbook”</w:t>
      </w:r>
      <w:r w:rsidR="00CC54CC" w:rsidRPr="00C35DEE">
        <w:rPr>
          <w:color w:val="000000" w:themeColor="text1"/>
        </w:rPr>
        <w:t xml:space="preserve"> and “Small Group Annual Aggregate </w:t>
      </w:r>
      <w:r w:rsidR="00727B6F" w:rsidRPr="00C35DEE">
        <w:rPr>
          <w:color w:val="000000" w:themeColor="text1"/>
        </w:rPr>
        <w:t xml:space="preserve">Rate </w:t>
      </w:r>
      <w:r w:rsidR="00CC54CC" w:rsidRPr="00C35DEE">
        <w:rPr>
          <w:color w:val="000000" w:themeColor="text1"/>
        </w:rPr>
        <w:t>Workbook</w:t>
      </w:r>
      <w:r w:rsidR="0066427A" w:rsidRPr="00C35DEE">
        <w:rPr>
          <w:color w:val="000000" w:themeColor="text1"/>
        </w:rPr>
        <w:t>,</w:t>
      </w:r>
      <w:r w:rsidR="00CC54CC" w:rsidRPr="00C35DEE">
        <w:rPr>
          <w:color w:val="000000" w:themeColor="text1"/>
        </w:rPr>
        <w:t>”</w:t>
      </w:r>
      <w:r w:rsidRPr="00C35DEE">
        <w:rPr>
          <w:color w:val="000000" w:themeColor="text1"/>
        </w:rPr>
        <w:t xml:space="preserve"> </w:t>
      </w:r>
      <w:r w:rsidR="0066427A" w:rsidRPr="00C35DEE">
        <w:rPr>
          <w:color w:val="000000" w:themeColor="text1"/>
        </w:rPr>
        <w:t xml:space="preserve">as well as any additional documents in response to questions within the workbook, </w:t>
      </w:r>
      <w:r w:rsidRPr="00C35DEE">
        <w:rPr>
          <w:color w:val="000000" w:themeColor="text1"/>
        </w:rPr>
        <w:t>must be submitted under the “Supporting Documentation” tab in SERFF</w:t>
      </w:r>
      <w:r w:rsidR="0066427A" w:rsidRPr="00C35DEE">
        <w:rPr>
          <w:color w:val="000000" w:themeColor="text1"/>
        </w:rPr>
        <w:t>.</w:t>
      </w:r>
      <w:r w:rsidR="006A7BD7" w:rsidRPr="00C35DEE">
        <w:rPr>
          <w:color w:val="000000" w:themeColor="text1"/>
        </w:rPr>
        <w:t xml:space="preserve"> </w:t>
      </w:r>
      <w:r w:rsidRPr="00C35DEE">
        <w:rPr>
          <w:color w:val="000000" w:themeColor="text1"/>
        </w:rPr>
        <w:t xml:space="preserve">This </w:t>
      </w:r>
      <w:r w:rsidR="00CC54CC" w:rsidRPr="00C35DEE">
        <w:rPr>
          <w:color w:val="000000" w:themeColor="text1"/>
        </w:rPr>
        <w:t xml:space="preserve">“Individual Annual Aggregate </w:t>
      </w:r>
      <w:r w:rsidR="00727B6F" w:rsidRPr="00C35DEE">
        <w:rPr>
          <w:color w:val="000000" w:themeColor="text1"/>
        </w:rPr>
        <w:t xml:space="preserve">Rate </w:t>
      </w:r>
      <w:r w:rsidR="00CC54CC" w:rsidRPr="00C35DEE">
        <w:rPr>
          <w:color w:val="000000" w:themeColor="text1"/>
        </w:rPr>
        <w:t xml:space="preserve">Workbook” and “Small Group Annual Aggregate </w:t>
      </w:r>
      <w:r w:rsidR="00727B6F" w:rsidRPr="00C35DEE">
        <w:rPr>
          <w:color w:val="000000" w:themeColor="text1"/>
        </w:rPr>
        <w:t xml:space="preserve">Rate </w:t>
      </w:r>
      <w:r w:rsidR="00CC54CC" w:rsidRPr="00C35DEE">
        <w:rPr>
          <w:color w:val="000000" w:themeColor="text1"/>
        </w:rPr>
        <w:t xml:space="preserve">Workbook” </w:t>
      </w:r>
      <w:r w:rsidRPr="00C35DEE">
        <w:rPr>
          <w:color w:val="000000" w:themeColor="text1"/>
        </w:rPr>
        <w:t xml:space="preserve">can be found on the </w:t>
      </w:r>
      <w:r w:rsidR="00F73E05" w:rsidRPr="00C35DEE">
        <w:rPr>
          <w:color w:val="000000" w:themeColor="text1"/>
        </w:rPr>
        <w:t>Department of Managed Health Care</w:t>
      </w:r>
      <w:r w:rsidRPr="00C35DEE">
        <w:rPr>
          <w:color w:val="000000" w:themeColor="text1"/>
        </w:rPr>
        <w:t xml:space="preserve"> </w:t>
      </w:r>
      <w:r w:rsidR="003B6C7D" w:rsidRPr="00C35DEE">
        <w:rPr>
          <w:color w:val="000000" w:themeColor="text1"/>
        </w:rPr>
        <w:t xml:space="preserve">or the </w:t>
      </w:r>
      <w:r w:rsidR="00F73E05" w:rsidRPr="00C35DEE">
        <w:rPr>
          <w:color w:val="000000" w:themeColor="text1"/>
        </w:rPr>
        <w:t>Department of Insurance</w:t>
      </w:r>
      <w:r w:rsidR="003B6C7D" w:rsidRPr="00C35DEE">
        <w:rPr>
          <w:color w:val="000000" w:themeColor="text1"/>
        </w:rPr>
        <w:t xml:space="preserve"> </w:t>
      </w:r>
      <w:r w:rsidRPr="00C35DEE">
        <w:rPr>
          <w:color w:val="000000" w:themeColor="text1"/>
        </w:rPr>
        <w:t xml:space="preserve">website. </w:t>
      </w:r>
      <w:bookmarkEnd w:id="3"/>
    </w:p>
    <w:sectPr w:rsidR="00935414" w:rsidRPr="00C35DEE" w:rsidSect="006E6673">
      <w:footerReference w:type="default" r:id="rId8"/>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266D" w14:textId="77777777" w:rsidR="009267F4" w:rsidRDefault="009267F4" w:rsidP="000054CD">
      <w:pPr>
        <w:spacing w:after="0" w:line="240" w:lineRule="auto"/>
      </w:pPr>
      <w:r>
        <w:separator/>
      </w:r>
    </w:p>
  </w:endnote>
  <w:endnote w:type="continuationSeparator" w:id="0">
    <w:p w14:paraId="209F37AA" w14:textId="77777777" w:rsidR="009267F4" w:rsidRDefault="009267F4" w:rsidP="0000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3C25" w14:textId="77777777" w:rsidR="000863BF" w:rsidRDefault="009A13B8" w:rsidP="006F44F1">
    <w:pPr>
      <w:pStyle w:val="Footer"/>
      <w:rPr>
        <w:rFonts w:ascii="Arial" w:hAnsi="Arial" w:cs="Arial"/>
        <w:sz w:val="24"/>
        <w:szCs w:val="24"/>
      </w:rPr>
    </w:pPr>
    <w:r>
      <w:rPr>
        <w:rFonts w:ascii="Arial" w:hAnsi="Arial" w:cs="Arial"/>
        <w:sz w:val="24"/>
        <w:szCs w:val="24"/>
      </w:rPr>
      <w:t>Assembly Bill</w:t>
    </w:r>
    <w:r w:rsidR="007B036E">
      <w:rPr>
        <w:rFonts w:ascii="Arial" w:hAnsi="Arial" w:cs="Arial"/>
        <w:sz w:val="24"/>
        <w:szCs w:val="24"/>
      </w:rPr>
      <w:t xml:space="preserve"> </w:t>
    </w:r>
    <w:r w:rsidR="00AC07E6">
      <w:rPr>
        <w:rFonts w:ascii="Arial" w:hAnsi="Arial" w:cs="Arial"/>
        <w:sz w:val="24"/>
        <w:szCs w:val="24"/>
      </w:rPr>
      <w:t>2118</w:t>
    </w:r>
    <w:r w:rsidR="007B036E">
      <w:rPr>
        <w:rFonts w:ascii="Arial" w:hAnsi="Arial" w:cs="Arial"/>
        <w:sz w:val="24"/>
        <w:szCs w:val="24"/>
      </w:rPr>
      <w:t xml:space="preserve"> Guidance</w:t>
    </w:r>
  </w:p>
  <w:p w14:paraId="2CDB0F7D" w14:textId="67E04F9C" w:rsidR="00654829" w:rsidRPr="006F44F1" w:rsidRDefault="00710C64" w:rsidP="006F44F1">
    <w:pPr>
      <w:pStyle w:val="Footer"/>
      <w:rPr>
        <w:rFonts w:ascii="Arial" w:hAnsi="Arial" w:cs="Arial"/>
        <w:sz w:val="24"/>
        <w:szCs w:val="24"/>
      </w:rPr>
    </w:pPr>
    <w:r>
      <w:rPr>
        <w:rFonts w:ascii="Arial" w:hAnsi="Arial" w:cs="Arial"/>
        <w:sz w:val="24"/>
        <w:szCs w:val="24"/>
      </w:rPr>
      <w:t>Version</w:t>
    </w:r>
    <w:r w:rsidR="000863BF">
      <w:rPr>
        <w:rFonts w:ascii="Arial" w:hAnsi="Arial" w:cs="Arial"/>
        <w:sz w:val="24"/>
        <w:szCs w:val="24"/>
      </w:rPr>
      <w:t xml:space="preserve"> Date: </w:t>
    </w:r>
    <w:r w:rsidR="001C6380">
      <w:rPr>
        <w:rFonts w:ascii="Arial" w:hAnsi="Arial" w:cs="Arial"/>
        <w:sz w:val="24"/>
        <w:szCs w:val="24"/>
      </w:rPr>
      <w:t>May 11</w:t>
    </w:r>
    <w:r>
      <w:rPr>
        <w:rFonts w:ascii="Arial" w:hAnsi="Arial" w:cs="Arial"/>
        <w:sz w:val="24"/>
        <w:szCs w:val="24"/>
      </w:rPr>
      <w:t xml:space="preserve">, </w:t>
    </w:r>
    <w:proofErr w:type="gramStart"/>
    <w:r>
      <w:rPr>
        <w:rFonts w:ascii="Arial" w:hAnsi="Arial" w:cs="Arial"/>
        <w:sz w:val="24"/>
        <w:szCs w:val="24"/>
      </w:rPr>
      <w:t>202</w:t>
    </w:r>
    <w:r w:rsidR="005D148A">
      <w:rPr>
        <w:rFonts w:ascii="Arial" w:hAnsi="Arial" w:cs="Arial"/>
        <w:sz w:val="24"/>
        <w:szCs w:val="24"/>
      </w:rPr>
      <w:t>3</w:t>
    </w:r>
    <w:proofErr w:type="gramEnd"/>
    <w:r w:rsidR="00654829" w:rsidRPr="006F44F1">
      <w:rPr>
        <w:rFonts w:ascii="Arial" w:hAnsi="Arial" w:cs="Arial"/>
        <w:sz w:val="24"/>
        <w:szCs w:val="24"/>
      </w:rPr>
      <w:tab/>
    </w:r>
    <w:r w:rsidR="00654829" w:rsidRPr="006F44F1">
      <w:rPr>
        <w:rFonts w:ascii="Arial" w:hAnsi="Arial" w:cs="Arial"/>
        <w:sz w:val="24"/>
        <w:szCs w:val="24"/>
      </w:rPr>
      <w:tab/>
      <w:t xml:space="preserve">Page </w:t>
    </w:r>
    <w:sdt>
      <w:sdtPr>
        <w:rPr>
          <w:rFonts w:ascii="Arial" w:hAnsi="Arial" w:cs="Arial"/>
          <w:color w:val="000000" w:themeColor="text1"/>
          <w:sz w:val="24"/>
          <w:szCs w:val="24"/>
        </w:rPr>
        <w:id w:val="1592738233"/>
        <w:docPartObj>
          <w:docPartGallery w:val="Page Numbers (Bottom of Page)"/>
          <w:docPartUnique/>
        </w:docPartObj>
      </w:sdtPr>
      <w:sdtEndPr>
        <w:rPr>
          <w:noProof/>
        </w:rPr>
      </w:sdtEndPr>
      <w:sdtContent>
        <w:r w:rsidR="00654829" w:rsidRPr="006F44F1">
          <w:rPr>
            <w:rFonts w:ascii="Arial" w:hAnsi="Arial" w:cs="Arial"/>
            <w:color w:val="000000" w:themeColor="text1"/>
            <w:sz w:val="24"/>
            <w:szCs w:val="24"/>
          </w:rPr>
          <w:fldChar w:fldCharType="begin"/>
        </w:r>
        <w:r w:rsidR="00654829" w:rsidRPr="006F44F1">
          <w:rPr>
            <w:rFonts w:ascii="Arial" w:hAnsi="Arial" w:cs="Arial"/>
            <w:sz w:val="24"/>
            <w:szCs w:val="24"/>
          </w:rPr>
          <w:instrText xml:space="preserve"> PAGE   \* MERGEFORMAT </w:instrText>
        </w:r>
        <w:r w:rsidR="00654829" w:rsidRPr="006F44F1">
          <w:rPr>
            <w:rFonts w:ascii="Arial" w:hAnsi="Arial" w:cs="Arial"/>
            <w:color w:val="000000" w:themeColor="text1"/>
            <w:sz w:val="24"/>
            <w:szCs w:val="24"/>
          </w:rPr>
          <w:fldChar w:fldCharType="separate"/>
        </w:r>
        <w:r w:rsidR="00260AD4">
          <w:rPr>
            <w:rFonts w:ascii="Arial" w:hAnsi="Arial" w:cs="Arial"/>
            <w:noProof/>
            <w:sz w:val="24"/>
            <w:szCs w:val="24"/>
          </w:rPr>
          <w:t>2</w:t>
        </w:r>
        <w:r w:rsidR="00654829" w:rsidRPr="006F44F1">
          <w:rPr>
            <w:rFonts w:ascii="Arial" w:hAnsi="Arial" w:cs="Arial"/>
            <w:noProof/>
            <w:color w:val="000000" w:themeColor="text1"/>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530A" w14:textId="77777777" w:rsidR="009267F4" w:rsidRDefault="009267F4" w:rsidP="000054CD">
      <w:pPr>
        <w:spacing w:after="0" w:line="240" w:lineRule="auto"/>
      </w:pPr>
      <w:r>
        <w:separator/>
      </w:r>
    </w:p>
  </w:footnote>
  <w:footnote w:type="continuationSeparator" w:id="0">
    <w:p w14:paraId="132974B9" w14:textId="77777777" w:rsidR="009267F4" w:rsidRDefault="009267F4" w:rsidP="00005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CC0"/>
    <w:multiLevelType w:val="hybridMultilevel"/>
    <w:tmpl w:val="2FE48E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13F5"/>
    <w:multiLevelType w:val="hybridMultilevel"/>
    <w:tmpl w:val="BC0CC438"/>
    <w:lvl w:ilvl="0" w:tplc="04090015">
      <w:start w:val="1"/>
      <w:numFmt w:val="upperLetter"/>
      <w:lvlText w:val="%1."/>
      <w:lvlJc w:val="left"/>
      <w:pPr>
        <w:ind w:left="720" w:hanging="360"/>
      </w:p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70F01"/>
    <w:multiLevelType w:val="hybridMultilevel"/>
    <w:tmpl w:val="7C7056B4"/>
    <w:lvl w:ilvl="0" w:tplc="2A5C826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A7B7F"/>
    <w:multiLevelType w:val="hybridMultilevel"/>
    <w:tmpl w:val="0FC8E4FC"/>
    <w:lvl w:ilvl="0" w:tplc="C48A8F5A">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A5E781D"/>
    <w:multiLevelType w:val="hybridMultilevel"/>
    <w:tmpl w:val="069AB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62D1F"/>
    <w:multiLevelType w:val="hybridMultilevel"/>
    <w:tmpl w:val="7F6E3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95687"/>
    <w:multiLevelType w:val="hybridMultilevel"/>
    <w:tmpl w:val="C75EF6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B142E"/>
    <w:multiLevelType w:val="multilevel"/>
    <w:tmpl w:val="9ADA1C7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E711108"/>
    <w:multiLevelType w:val="hybridMultilevel"/>
    <w:tmpl w:val="1E3433C4"/>
    <w:lvl w:ilvl="0" w:tplc="04090015">
      <w:start w:val="1"/>
      <w:numFmt w:val="upperLetter"/>
      <w:lvlText w:val="%1."/>
      <w:lvlJc w:val="left"/>
      <w:pPr>
        <w:ind w:left="720" w:hanging="360"/>
      </w:pPr>
    </w:lvl>
    <w:lvl w:ilvl="1" w:tplc="6C78C06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E5314"/>
    <w:multiLevelType w:val="hybridMultilevel"/>
    <w:tmpl w:val="C9FE885C"/>
    <w:lvl w:ilvl="0" w:tplc="0409000F">
      <w:start w:val="1"/>
      <w:numFmt w:val="decimal"/>
      <w:lvlText w:val="%1."/>
      <w:lvlJc w:val="left"/>
      <w:pPr>
        <w:ind w:left="1446" w:hanging="360"/>
      </w:pPr>
      <w:rPr>
        <w:rFonts w:hint="default"/>
      </w:r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29625206"/>
    <w:multiLevelType w:val="hybridMultilevel"/>
    <w:tmpl w:val="CF50F0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F06DD"/>
    <w:multiLevelType w:val="hybridMultilevel"/>
    <w:tmpl w:val="DAC202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0A3913"/>
    <w:multiLevelType w:val="hybridMultilevel"/>
    <w:tmpl w:val="31224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96F29"/>
    <w:multiLevelType w:val="hybridMultilevel"/>
    <w:tmpl w:val="94620E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E1B84"/>
    <w:multiLevelType w:val="hybridMultilevel"/>
    <w:tmpl w:val="9CFCE4C0"/>
    <w:lvl w:ilvl="0" w:tplc="2A5C82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5B0B0F"/>
    <w:multiLevelType w:val="hybridMultilevel"/>
    <w:tmpl w:val="1EC6E2DA"/>
    <w:lvl w:ilvl="0" w:tplc="7A7075F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F610B42"/>
    <w:multiLevelType w:val="hybridMultilevel"/>
    <w:tmpl w:val="F0685900"/>
    <w:lvl w:ilvl="0" w:tplc="CA0A9B30">
      <w:start w:val="1"/>
      <w:numFmt w:val="decimal"/>
      <w:lvlText w:val="%1."/>
      <w:lvlJc w:val="left"/>
      <w:pPr>
        <w:ind w:left="2526" w:hanging="360"/>
      </w:pPr>
      <w:rPr>
        <w:rFonts w:hint="default"/>
      </w:r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18" w15:restartNumberingAfterBreak="0">
    <w:nsid w:val="5049551A"/>
    <w:multiLevelType w:val="hybridMultilevel"/>
    <w:tmpl w:val="C38688DE"/>
    <w:lvl w:ilvl="0" w:tplc="0409000F">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15:restartNumberingAfterBreak="0">
    <w:nsid w:val="510F019F"/>
    <w:multiLevelType w:val="hybridMultilevel"/>
    <w:tmpl w:val="0D62D5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2B3060"/>
    <w:multiLevelType w:val="hybridMultilevel"/>
    <w:tmpl w:val="0FC8E4FC"/>
    <w:lvl w:ilvl="0" w:tplc="C48A8F5A">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E622CE9"/>
    <w:multiLevelType w:val="multilevel"/>
    <w:tmpl w:val="9ADA1C7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5E6473AF"/>
    <w:multiLevelType w:val="hybridMultilevel"/>
    <w:tmpl w:val="1384F6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384805"/>
    <w:multiLevelType w:val="hybridMultilevel"/>
    <w:tmpl w:val="A282FF42"/>
    <w:lvl w:ilvl="0" w:tplc="31922B5C">
      <w:start w:val="1"/>
      <w:numFmt w:val="decimal"/>
      <w:lvlText w:val="%1."/>
      <w:lvlJc w:val="left"/>
      <w:pPr>
        <w:ind w:left="720" w:hanging="360"/>
      </w:pPr>
      <w:rPr>
        <w:rFonts w:hint="default"/>
      </w:rPr>
    </w:lvl>
    <w:lvl w:ilvl="1" w:tplc="2D56B8C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9575C"/>
    <w:multiLevelType w:val="hybridMultilevel"/>
    <w:tmpl w:val="4D8079CE"/>
    <w:lvl w:ilvl="0" w:tplc="F86E5A26">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0709B"/>
    <w:multiLevelType w:val="hybridMultilevel"/>
    <w:tmpl w:val="39D4E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E7204"/>
    <w:multiLevelType w:val="hybridMultilevel"/>
    <w:tmpl w:val="A3AEE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95B1B"/>
    <w:multiLevelType w:val="hybridMultilevel"/>
    <w:tmpl w:val="EE1C265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135A73"/>
    <w:multiLevelType w:val="hybridMultilevel"/>
    <w:tmpl w:val="738073A2"/>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num w:numId="1" w16cid:durableId="331101305">
    <w:abstractNumId w:val="11"/>
  </w:num>
  <w:num w:numId="2" w16cid:durableId="117720754">
    <w:abstractNumId w:val="20"/>
  </w:num>
  <w:num w:numId="3" w16cid:durableId="547107294">
    <w:abstractNumId w:val="3"/>
  </w:num>
  <w:num w:numId="4" w16cid:durableId="1023049213">
    <w:abstractNumId w:val="8"/>
  </w:num>
  <w:num w:numId="5" w16cid:durableId="726077014">
    <w:abstractNumId w:val="14"/>
  </w:num>
  <w:num w:numId="6" w16cid:durableId="749930298">
    <w:abstractNumId w:val="25"/>
  </w:num>
  <w:num w:numId="7" w16cid:durableId="785929616">
    <w:abstractNumId w:val="4"/>
  </w:num>
  <w:num w:numId="8" w16cid:durableId="1288662832">
    <w:abstractNumId w:val="26"/>
  </w:num>
  <w:num w:numId="9" w16cid:durableId="1988968320">
    <w:abstractNumId w:val="13"/>
  </w:num>
  <w:num w:numId="10" w16cid:durableId="693918959">
    <w:abstractNumId w:val="19"/>
  </w:num>
  <w:num w:numId="11" w16cid:durableId="892349513">
    <w:abstractNumId w:val="21"/>
  </w:num>
  <w:num w:numId="12" w16cid:durableId="1792704495">
    <w:abstractNumId w:val="7"/>
  </w:num>
  <w:num w:numId="13" w16cid:durableId="378867570">
    <w:abstractNumId w:val="24"/>
  </w:num>
  <w:num w:numId="14" w16cid:durableId="1500925136">
    <w:abstractNumId w:val="0"/>
  </w:num>
  <w:num w:numId="15" w16cid:durableId="418869081">
    <w:abstractNumId w:val="15"/>
  </w:num>
  <w:num w:numId="16" w16cid:durableId="1609583068">
    <w:abstractNumId w:val="12"/>
  </w:num>
  <w:num w:numId="17" w16cid:durableId="1060373002">
    <w:abstractNumId w:val="5"/>
  </w:num>
  <w:num w:numId="18" w16cid:durableId="1677078148">
    <w:abstractNumId w:val="23"/>
  </w:num>
  <w:num w:numId="19" w16cid:durableId="1213031160">
    <w:abstractNumId w:val="2"/>
  </w:num>
  <w:num w:numId="20" w16cid:durableId="1069426410">
    <w:abstractNumId w:val="27"/>
  </w:num>
  <w:num w:numId="21" w16cid:durableId="1736195008">
    <w:abstractNumId w:val="10"/>
  </w:num>
  <w:num w:numId="22" w16cid:durableId="1047147741">
    <w:abstractNumId w:val="1"/>
  </w:num>
  <w:num w:numId="23" w16cid:durableId="849103469">
    <w:abstractNumId w:val="22"/>
  </w:num>
  <w:num w:numId="24" w16cid:durableId="1378748418">
    <w:abstractNumId w:val="6"/>
  </w:num>
  <w:num w:numId="25" w16cid:durableId="1344283972">
    <w:abstractNumId w:val="9"/>
  </w:num>
  <w:num w:numId="26" w16cid:durableId="867715747">
    <w:abstractNumId w:val="18"/>
  </w:num>
  <w:num w:numId="27" w16cid:durableId="2083138618">
    <w:abstractNumId w:val="17"/>
  </w:num>
  <w:num w:numId="28" w16cid:durableId="1337728351">
    <w:abstractNumId w:val="16"/>
  </w:num>
  <w:num w:numId="29" w16cid:durableId="5763256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156437"/>
    <w:rsid w:val="00000341"/>
    <w:rsid w:val="000018D7"/>
    <w:rsid w:val="000054CD"/>
    <w:rsid w:val="00013A78"/>
    <w:rsid w:val="00022E55"/>
    <w:rsid w:val="00024DDA"/>
    <w:rsid w:val="00056E33"/>
    <w:rsid w:val="0006021C"/>
    <w:rsid w:val="000627AB"/>
    <w:rsid w:val="00064C5E"/>
    <w:rsid w:val="00076AA0"/>
    <w:rsid w:val="0007786F"/>
    <w:rsid w:val="00082260"/>
    <w:rsid w:val="00082489"/>
    <w:rsid w:val="000833CD"/>
    <w:rsid w:val="000863BF"/>
    <w:rsid w:val="0009591B"/>
    <w:rsid w:val="000A1FFF"/>
    <w:rsid w:val="000A55D9"/>
    <w:rsid w:val="000A6DF3"/>
    <w:rsid w:val="000A6FF3"/>
    <w:rsid w:val="000B067A"/>
    <w:rsid w:val="000B20C0"/>
    <w:rsid w:val="000B45F7"/>
    <w:rsid w:val="000B6E7D"/>
    <w:rsid w:val="000C32E1"/>
    <w:rsid w:val="000D01AC"/>
    <w:rsid w:val="000E2E71"/>
    <w:rsid w:val="000E3ACD"/>
    <w:rsid w:val="000E4454"/>
    <w:rsid w:val="000E6637"/>
    <w:rsid w:val="000F06BC"/>
    <w:rsid w:val="000F5F7E"/>
    <w:rsid w:val="00121354"/>
    <w:rsid w:val="00123A73"/>
    <w:rsid w:val="001320E4"/>
    <w:rsid w:val="0013290C"/>
    <w:rsid w:val="00134D3E"/>
    <w:rsid w:val="001425CE"/>
    <w:rsid w:val="00146EF6"/>
    <w:rsid w:val="00151534"/>
    <w:rsid w:val="00156437"/>
    <w:rsid w:val="00167657"/>
    <w:rsid w:val="00167CFD"/>
    <w:rsid w:val="00172791"/>
    <w:rsid w:val="0017547F"/>
    <w:rsid w:val="00183B14"/>
    <w:rsid w:val="00185743"/>
    <w:rsid w:val="00186FE3"/>
    <w:rsid w:val="0019002F"/>
    <w:rsid w:val="001B7AC2"/>
    <w:rsid w:val="001C474A"/>
    <w:rsid w:val="001C6380"/>
    <w:rsid w:val="001C7156"/>
    <w:rsid w:val="001D0B9E"/>
    <w:rsid w:val="001D25FE"/>
    <w:rsid w:val="001D32D9"/>
    <w:rsid w:val="001D4E6E"/>
    <w:rsid w:val="001D59F8"/>
    <w:rsid w:val="001D7421"/>
    <w:rsid w:val="001E6CFF"/>
    <w:rsid w:val="001F52EC"/>
    <w:rsid w:val="0020626D"/>
    <w:rsid w:val="00212C5D"/>
    <w:rsid w:val="00220716"/>
    <w:rsid w:val="0023710B"/>
    <w:rsid w:val="00241E7F"/>
    <w:rsid w:val="0026017F"/>
    <w:rsid w:val="00260AD4"/>
    <w:rsid w:val="002746C9"/>
    <w:rsid w:val="0027692D"/>
    <w:rsid w:val="00286B73"/>
    <w:rsid w:val="00294180"/>
    <w:rsid w:val="00294C32"/>
    <w:rsid w:val="00296576"/>
    <w:rsid w:val="00296DD5"/>
    <w:rsid w:val="002A113C"/>
    <w:rsid w:val="002A24ED"/>
    <w:rsid w:val="002A6787"/>
    <w:rsid w:val="002C0B45"/>
    <w:rsid w:val="002C2E8C"/>
    <w:rsid w:val="002C726B"/>
    <w:rsid w:val="002C7440"/>
    <w:rsid w:val="002D4FAF"/>
    <w:rsid w:val="002E4A8E"/>
    <w:rsid w:val="002E5A4A"/>
    <w:rsid w:val="002F271E"/>
    <w:rsid w:val="002F2D7C"/>
    <w:rsid w:val="002F3F25"/>
    <w:rsid w:val="002F7BDD"/>
    <w:rsid w:val="003020F3"/>
    <w:rsid w:val="00303FCD"/>
    <w:rsid w:val="003124B7"/>
    <w:rsid w:val="00313C4F"/>
    <w:rsid w:val="00315645"/>
    <w:rsid w:val="00317AC4"/>
    <w:rsid w:val="003206B3"/>
    <w:rsid w:val="00336B08"/>
    <w:rsid w:val="00347054"/>
    <w:rsid w:val="00347141"/>
    <w:rsid w:val="003520A1"/>
    <w:rsid w:val="00355C5A"/>
    <w:rsid w:val="00355DB9"/>
    <w:rsid w:val="00362C1D"/>
    <w:rsid w:val="00370200"/>
    <w:rsid w:val="003721EA"/>
    <w:rsid w:val="00373FC0"/>
    <w:rsid w:val="00373FFF"/>
    <w:rsid w:val="00375056"/>
    <w:rsid w:val="003804EB"/>
    <w:rsid w:val="003811B9"/>
    <w:rsid w:val="003827BB"/>
    <w:rsid w:val="00385A3A"/>
    <w:rsid w:val="00387057"/>
    <w:rsid w:val="003873A5"/>
    <w:rsid w:val="00394873"/>
    <w:rsid w:val="003A2EE8"/>
    <w:rsid w:val="003A39BD"/>
    <w:rsid w:val="003A632F"/>
    <w:rsid w:val="003A67F2"/>
    <w:rsid w:val="003B21C2"/>
    <w:rsid w:val="003B6C7D"/>
    <w:rsid w:val="003C667F"/>
    <w:rsid w:val="003D011F"/>
    <w:rsid w:val="003D2F92"/>
    <w:rsid w:val="003D41D9"/>
    <w:rsid w:val="003D67E3"/>
    <w:rsid w:val="003E3FE9"/>
    <w:rsid w:val="003E5C84"/>
    <w:rsid w:val="003E6097"/>
    <w:rsid w:val="003E7FB3"/>
    <w:rsid w:val="00424621"/>
    <w:rsid w:val="00430B1D"/>
    <w:rsid w:val="004402EC"/>
    <w:rsid w:val="004425A4"/>
    <w:rsid w:val="00452046"/>
    <w:rsid w:val="004571E7"/>
    <w:rsid w:val="00457465"/>
    <w:rsid w:val="0045769A"/>
    <w:rsid w:val="00457E35"/>
    <w:rsid w:val="00464FFB"/>
    <w:rsid w:val="00470590"/>
    <w:rsid w:val="00472ECA"/>
    <w:rsid w:val="004764E4"/>
    <w:rsid w:val="004770B5"/>
    <w:rsid w:val="00477A7E"/>
    <w:rsid w:val="00481E09"/>
    <w:rsid w:val="00481F74"/>
    <w:rsid w:val="00482EB3"/>
    <w:rsid w:val="0049587D"/>
    <w:rsid w:val="004962C4"/>
    <w:rsid w:val="00497D66"/>
    <w:rsid w:val="004B3CBD"/>
    <w:rsid w:val="004C5722"/>
    <w:rsid w:val="004D0ED1"/>
    <w:rsid w:val="004D14D3"/>
    <w:rsid w:val="004D6605"/>
    <w:rsid w:val="004E11DB"/>
    <w:rsid w:val="004E216E"/>
    <w:rsid w:val="004E35C2"/>
    <w:rsid w:val="004F19AE"/>
    <w:rsid w:val="004F447B"/>
    <w:rsid w:val="004F55AE"/>
    <w:rsid w:val="0050088F"/>
    <w:rsid w:val="00501A3E"/>
    <w:rsid w:val="005161C6"/>
    <w:rsid w:val="00517DE6"/>
    <w:rsid w:val="00524883"/>
    <w:rsid w:val="00524FC7"/>
    <w:rsid w:val="00527316"/>
    <w:rsid w:val="00551073"/>
    <w:rsid w:val="00561B30"/>
    <w:rsid w:val="00565482"/>
    <w:rsid w:val="005663DC"/>
    <w:rsid w:val="00576E01"/>
    <w:rsid w:val="00577F2C"/>
    <w:rsid w:val="00580D62"/>
    <w:rsid w:val="00580E47"/>
    <w:rsid w:val="00596FEA"/>
    <w:rsid w:val="005A41FF"/>
    <w:rsid w:val="005A775D"/>
    <w:rsid w:val="005B13C8"/>
    <w:rsid w:val="005B7BDF"/>
    <w:rsid w:val="005C6B7C"/>
    <w:rsid w:val="005D148A"/>
    <w:rsid w:val="005D3B30"/>
    <w:rsid w:val="005D5B7A"/>
    <w:rsid w:val="005D5D7E"/>
    <w:rsid w:val="005D7E95"/>
    <w:rsid w:val="005E1D62"/>
    <w:rsid w:val="005E2A94"/>
    <w:rsid w:val="005E4D1D"/>
    <w:rsid w:val="005E5128"/>
    <w:rsid w:val="005F208B"/>
    <w:rsid w:val="006023CC"/>
    <w:rsid w:val="006056B0"/>
    <w:rsid w:val="00610F24"/>
    <w:rsid w:val="00611520"/>
    <w:rsid w:val="00623957"/>
    <w:rsid w:val="00625D62"/>
    <w:rsid w:val="00630754"/>
    <w:rsid w:val="00641327"/>
    <w:rsid w:val="00645D75"/>
    <w:rsid w:val="00654829"/>
    <w:rsid w:val="006558D7"/>
    <w:rsid w:val="00656D95"/>
    <w:rsid w:val="0066427A"/>
    <w:rsid w:val="006767B6"/>
    <w:rsid w:val="0068322A"/>
    <w:rsid w:val="00683BE3"/>
    <w:rsid w:val="00685417"/>
    <w:rsid w:val="00690D45"/>
    <w:rsid w:val="00693BCF"/>
    <w:rsid w:val="006940BF"/>
    <w:rsid w:val="006A7BD7"/>
    <w:rsid w:val="006B1906"/>
    <w:rsid w:val="006B7B78"/>
    <w:rsid w:val="006D23A2"/>
    <w:rsid w:val="006D3010"/>
    <w:rsid w:val="006D3494"/>
    <w:rsid w:val="006E1448"/>
    <w:rsid w:val="006E1572"/>
    <w:rsid w:val="006E6673"/>
    <w:rsid w:val="006E7B26"/>
    <w:rsid w:val="006F0335"/>
    <w:rsid w:val="006F443A"/>
    <w:rsid w:val="006F44F1"/>
    <w:rsid w:val="006F6C00"/>
    <w:rsid w:val="006F7224"/>
    <w:rsid w:val="00710734"/>
    <w:rsid w:val="00710C64"/>
    <w:rsid w:val="007117E9"/>
    <w:rsid w:val="00712788"/>
    <w:rsid w:val="0072093C"/>
    <w:rsid w:val="00722A62"/>
    <w:rsid w:val="00722C45"/>
    <w:rsid w:val="00727297"/>
    <w:rsid w:val="00727B6F"/>
    <w:rsid w:val="00730550"/>
    <w:rsid w:val="0073346B"/>
    <w:rsid w:val="007402A4"/>
    <w:rsid w:val="00747F40"/>
    <w:rsid w:val="00753FB1"/>
    <w:rsid w:val="007733B8"/>
    <w:rsid w:val="00775C75"/>
    <w:rsid w:val="00783519"/>
    <w:rsid w:val="00790F42"/>
    <w:rsid w:val="00791BFC"/>
    <w:rsid w:val="00792E34"/>
    <w:rsid w:val="0079373C"/>
    <w:rsid w:val="00795250"/>
    <w:rsid w:val="00795453"/>
    <w:rsid w:val="007A4F70"/>
    <w:rsid w:val="007A5094"/>
    <w:rsid w:val="007B036E"/>
    <w:rsid w:val="007B2303"/>
    <w:rsid w:val="007B2FEC"/>
    <w:rsid w:val="007B360F"/>
    <w:rsid w:val="007B7135"/>
    <w:rsid w:val="007B724D"/>
    <w:rsid w:val="007C1E3C"/>
    <w:rsid w:val="007C2F70"/>
    <w:rsid w:val="007C40BE"/>
    <w:rsid w:val="007C5806"/>
    <w:rsid w:val="007E529F"/>
    <w:rsid w:val="007E5E84"/>
    <w:rsid w:val="007F0A78"/>
    <w:rsid w:val="007F29EC"/>
    <w:rsid w:val="007F4AEB"/>
    <w:rsid w:val="007F6A15"/>
    <w:rsid w:val="00806D8C"/>
    <w:rsid w:val="00811372"/>
    <w:rsid w:val="00812C74"/>
    <w:rsid w:val="008149C7"/>
    <w:rsid w:val="00817253"/>
    <w:rsid w:val="008175EF"/>
    <w:rsid w:val="00825542"/>
    <w:rsid w:val="0083095B"/>
    <w:rsid w:val="00846BA5"/>
    <w:rsid w:val="00856C04"/>
    <w:rsid w:val="00866CC1"/>
    <w:rsid w:val="00870125"/>
    <w:rsid w:val="00870CF3"/>
    <w:rsid w:val="008764BA"/>
    <w:rsid w:val="008838B6"/>
    <w:rsid w:val="00886154"/>
    <w:rsid w:val="008919BE"/>
    <w:rsid w:val="00895DA6"/>
    <w:rsid w:val="00896F5A"/>
    <w:rsid w:val="008A12C6"/>
    <w:rsid w:val="008A216C"/>
    <w:rsid w:val="008A4D8D"/>
    <w:rsid w:val="008B229F"/>
    <w:rsid w:val="008B3426"/>
    <w:rsid w:val="008B3E88"/>
    <w:rsid w:val="008C4DF9"/>
    <w:rsid w:val="008C59C0"/>
    <w:rsid w:val="008E1317"/>
    <w:rsid w:val="008E2EAE"/>
    <w:rsid w:val="00903122"/>
    <w:rsid w:val="009049F2"/>
    <w:rsid w:val="0091344E"/>
    <w:rsid w:val="009167FF"/>
    <w:rsid w:val="00917D32"/>
    <w:rsid w:val="00923EE3"/>
    <w:rsid w:val="0092507D"/>
    <w:rsid w:val="009267F4"/>
    <w:rsid w:val="00927FE7"/>
    <w:rsid w:val="0093086C"/>
    <w:rsid w:val="00930D5E"/>
    <w:rsid w:val="009351F2"/>
    <w:rsid w:val="00935414"/>
    <w:rsid w:val="00935D1A"/>
    <w:rsid w:val="009449FC"/>
    <w:rsid w:val="0094539F"/>
    <w:rsid w:val="009568FD"/>
    <w:rsid w:val="00973922"/>
    <w:rsid w:val="00977CFC"/>
    <w:rsid w:val="009826E4"/>
    <w:rsid w:val="009935B5"/>
    <w:rsid w:val="0099541D"/>
    <w:rsid w:val="00995667"/>
    <w:rsid w:val="00995BD8"/>
    <w:rsid w:val="00997A11"/>
    <w:rsid w:val="009A13B8"/>
    <w:rsid w:val="009A177A"/>
    <w:rsid w:val="009A1D26"/>
    <w:rsid w:val="009B5ACC"/>
    <w:rsid w:val="009B73B5"/>
    <w:rsid w:val="009C7D52"/>
    <w:rsid w:val="009D4D6A"/>
    <w:rsid w:val="009E1CB4"/>
    <w:rsid w:val="009F224D"/>
    <w:rsid w:val="009F44F3"/>
    <w:rsid w:val="00A01ECE"/>
    <w:rsid w:val="00A2114E"/>
    <w:rsid w:val="00A23B23"/>
    <w:rsid w:val="00A2768C"/>
    <w:rsid w:val="00A30AD8"/>
    <w:rsid w:val="00A35F72"/>
    <w:rsid w:val="00A376ED"/>
    <w:rsid w:val="00A37BAF"/>
    <w:rsid w:val="00A428E2"/>
    <w:rsid w:val="00A44856"/>
    <w:rsid w:val="00A475BD"/>
    <w:rsid w:val="00A52B6B"/>
    <w:rsid w:val="00A56293"/>
    <w:rsid w:val="00A61ED6"/>
    <w:rsid w:val="00A66FCE"/>
    <w:rsid w:val="00A67DD1"/>
    <w:rsid w:val="00A67E72"/>
    <w:rsid w:val="00A71AF9"/>
    <w:rsid w:val="00A71E9F"/>
    <w:rsid w:val="00A72AA4"/>
    <w:rsid w:val="00A811EE"/>
    <w:rsid w:val="00A90D29"/>
    <w:rsid w:val="00A917C1"/>
    <w:rsid w:val="00A962E1"/>
    <w:rsid w:val="00AA0A6D"/>
    <w:rsid w:val="00AA19DA"/>
    <w:rsid w:val="00AB52CB"/>
    <w:rsid w:val="00AB56A5"/>
    <w:rsid w:val="00AC07E6"/>
    <w:rsid w:val="00AC09C6"/>
    <w:rsid w:val="00AD05F5"/>
    <w:rsid w:val="00AF2644"/>
    <w:rsid w:val="00AF6EAC"/>
    <w:rsid w:val="00AF739B"/>
    <w:rsid w:val="00B00AD9"/>
    <w:rsid w:val="00B01D33"/>
    <w:rsid w:val="00B02468"/>
    <w:rsid w:val="00B16AC6"/>
    <w:rsid w:val="00B21A44"/>
    <w:rsid w:val="00B25688"/>
    <w:rsid w:val="00B34A11"/>
    <w:rsid w:val="00B43CF7"/>
    <w:rsid w:val="00B53E73"/>
    <w:rsid w:val="00B63B70"/>
    <w:rsid w:val="00B64895"/>
    <w:rsid w:val="00B65915"/>
    <w:rsid w:val="00B81B4D"/>
    <w:rsid w:val="00B82016"/>
    <w:rsid w:val="00B82C92"/>
    <w:rsid w:val="00B9465B"/>
    <w:rsid w:val="00B96B61"/>
    <w:rsid w:val="00B96DE9"/>
    <w:rsid w:val="00BA08CF"/>
    <w:rsid w:val="00BA15F3"/>
    <w:rsid w:val="00BA46B9"/>
    <w:rsid w:val="00BB017E"/>
    <w:rsid w:val="00BC3D88"/>
    <w:rsid w:val="00BD35AC"/>
    <w:rsid w:val="00BD7DA3"/>
    <w:rsid w:val="00BE6B63"/>
    <w:rsid w:val="00BE7140"/>
    <w:rsid w:val="00BF19C9"/>
    <w:rsid w:val="00BF54A0"/>
    <w:rsid w:val="00C00826"/>
    <w:rsid w:val="00C00965"/>
    <w:rsid w:val="00C01190"/>
    <w:rsid w:val="00C022DB"/>
    <w:rsid w:val="00C12DA3"/>
    <w:rsid w:val="00C13517"/>
    <w:rsid w:val="00C13CA9"/>
    <w:rsid w:val="00C20FD0"/>
    <w:rsid w:val="00C27C59"/>
    <w:rsid w:val="00C32B2A"/>
    <w:rsid w:val="00C35DEE"/>
    <w:rsid w:val="00C36BB5"/>
    <w:rsid w:val="00C47FC4"/>
    <w:rsid w:val="00C50A8B"/>
    <w:rsid w:val="00C50C6C"/>
    <w:rsid w:val="00C51597"/>
    <w:rsid w:val="00C63B08"/>
    <w:rsid w:val="00C657D7"/>
    <w:rsid w:val="00C671E6"/>
    <w:rsid w:val="00C75AAB"/>
    <w:rsid w:val="00C77825"/>
    <w:rsid w:val="00C91AA2"/>
    <w:rsid w:val="00C93532"/>
    <w:rsid w:val="00C93C81"/>
    <w:rsid w:val="00CA4EF6"/>
    <w:rsid w:val="00CB2E05"/>
    <w:rsid w:val="00CB6086"/>
    <w:rsid w:val="00CC051F"/>
    <w:rsid w:val="00CC1A07"/>
    <w:rsid w:val="00CC1A77"/>
    <w:rsid w:val="00CC54CC"/>
    <w:rsid w:val="00CC6ACB"/>
    <w:rsid w:val="00CD689E"/>
    <w:rsid w:val="00CE4135"/>
    <w:rsid w:val="00D01429"/>
    <w:rsid w:val="00D01BD8"/>
    <w:rsid w:val="00D0271E"/>
    <w:rsid w:val="00D03139"/>
    <w:rsid w:val="00D15351"/>
    <w:rsid w:val="00D22632"/>
    <w:rsid w:val="00D240B4"/>
    <w:rsid w:val="00D25256"/>
    <w:rsid w:val="00D30C7E"/>
    <w:rsid w:val="00D320AE"/>
    <w:rsid w:val="00D34C79"/>
    <w:rsid w:val="00D52D35"/>
    <w:rsid w:val="00D54F07"/>
    <w:rsid w:val="00D7088C"/>
    <w:rsid w:val="00D8047B"/>
    <w:rsid w:val="00D84A94"/>
    <w:rsid w:val="00D95342"/>
    <w:rsid w:val="00D95E5A"/>
    <w:rsid w:val="00DA24D7"/>
    <w:rsid w:val="00DB3426"/>
    <w:rsid w:val="00DB61B7"/>
    <w:rsid w:val="00DB6242"/>
    <w:rsid w:val="00DC067A"/>
    <w:rsid w:val="00DC1F03"/>
    <w:rsid w:val="00DE0E12"/>
    <w:rsid w:val="00DE768E"/>
    <w:rsid w:val="00DE7E34"/>
    <w:rsid w:val="00DF1A30"/>
    <w:rsid w:val="00DF7CD3"/>
    <w:rsid w:val="00E02E56"/>
    <w:rsid w:val="00E301A4"/>
    <w:rsid w:val="00E30A1E"/>
    <w:rsid w:val="00E33074"/>
    <w:rsid w:val="00E35377"/>
    <w:rsid w:val="00E36DC0"/>
    <w:rsid w:val="00E45D38"/>
    <w:rsid w:val="00E60850"/>
    <w:rsid w:val="00E6157A"/>
    <w:rsid w:val="00E67FEE"/>
    <w:rsid w:val="00E75FAA"/>
    <w:rsid w:val="00E766CB"/>
    <w:rsid w:val="00E823BE"/>
    <w:rsid w:val="00E840D9"/>
    <w:rsid w:val="00E853E3"/>
    <w:rsid w:val="00EA07AA"/>
    <w:rsid w:val="00EA55B0"/>
    <w:rsid w:val="00EA7111"/>
    <w:rsid w:val="00EC0C1A"/>
    <w:rsid w:val="00EC3686"/>
    <w:rsid w:val="00EE20BE"/>
    <w:rsid w:val="00EF07C8"/>
    <w:rsid w:val="00EF18B0"/>
    <w:rsid w:val="00EF4F31"/>
    <w:rsid w:val="00EF5539"/>
    <w:rsid w:val="00EF7809"/>
    <w:rsid w:val="00F10A68"/>
    <w:rsid w:val="00F10AF4"/>
    <w:rsid w:val="00F12212"/>
    <w:rsid w:val="00F13290"/>
    <w:rsid w:val="00F15905"/>
    <w:rsid w:val="00F219A9"/>
    <w:rsid w:val="00F225C1"/>
    <w:rsid w:val="00F50897"/>
    <w:rsid w:val="00F56ED7"/>
    <w:rsid w:val="00F65616"/>
    <w:rsid w:val="00F66C9B"/>
    <w:rsid w:val="00F70661"/>
    <w:rsid w:val="00F71069"/>
    <w:rsid w:val="00F71271"/>
    <w:rsid w:val="00F727EA"/>
    <w:rsid w:val="00F73E05"/>
    <w:rsid w:val="00F74479"/>
    <w:rsid w:val="00F77025"/>
    <w:rsid w:val="00F77586"/>
    <w:rsid w:val="00F81B1B"/>
    <w:rsid w:val="00F825E5"/>
    <w:rsid w:val="00F86800"/>
    <w:rsid w:val="00F90145"/>
    <w:rsid w:val="00F90EDB"/>
    <w:rsid w:val="00F91811"/>
    <w:rsid w:val="00F93136"/>
    <w:rsid w:val="00FA7237"/>
    <w:rsid w:val="00FB1839"/>
    <w:rsid w:val="00FB4CBA"/>
    <w:rsid w:val="00FB536C"/>
    <w:rsid w:val="00FC13E9"/>
    <w:rsid w:val="00FC2CEA"/>
    <w:rsid w:val="00FC6092"/>
    <w:rsid w:val="00FD0B76"/>
    <w:rsid w:val="00FD66F4"/>
    <w:rsid w:val="00FD6DE5"/>
    <w:rsid w:val="00FE1641"/>
    <w:rsid w:val="00FF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6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56437"/>
    <w:pPr>
      <w:autoSpaceDE w:val="0"/>
      <w:autoSpaceDN w:val="0"/>
      <w:adjustRightInd w:val="0"/>
      <w:spacing w:after="0" w:line="240" w:lineRule="auto"/>
    </w:pPr>
    <w:rPr>
      <w:rFonts w:ascii="Arial" w:hAnsi="Arial" w:cs="Arial"/>
      <w:color w:val="000000"/>
      <w:sz w:val="24"/>
      <w:szCs w:val="24"/>
    </w:rPr>
  </w:style>
  <w:style w:type="paragraph" w:customStyle="1" w:styleId="CM23">
    <w:name w:val="CM23"/>
    <w:basedOn w:val="Default"/>
    <w:next w:val="Default"/>
    <w:uiPriority w:val="99"/>
    <w:rsid w:val="00156437"/>
    <w:rPr>
      <w:color w:val="auto"/>
    </w:rPr>
  </w:style>
  <w:style w:type="character" w:styleId="Hyperlink">
    <w:name w:val="Hyperlink"/>
    <w:basedOn w:val="DefaultParagraphFont"/>
    <w:uiPriority w:val="99"/>
    <w:unhideWhenUsed/>
    <w:rsid w:val="00FD0B76"/>
    <w:rPr>
      <w:color w:val="0563C1" w:themeColor="hyperlink"/>
      <w:u w:val="single"/>
    </w:rPr>
  </w:style>
  <w:style w:type="paragraph" w:styleId="NoSpacing">
    <w:name w:val="No Spacing"/>
    <w:uiPriority w:val="1"/>
    <w:qFormat/>
    <w:rsid w:val="00FD0B76"/>
    <w:pPr>
      <w:spacing w:after="0" w:line="240" w:lineRule="auto"/>
    </w:pPr>
  </w:style>
  <w:style w:type="character" w:styleId="CommentReference">
    <w:name w:val="annotation reference"/>
    <w:basedOn w:val="DefaultParagraphFont"/>
    <w:uiPriority w:val="99"/>
    <w:semiHidden/>
    <w:unhideWhenUsed/>
    <w:rsid w:val="0019002F"/>
    <w:rPr>
      <w:sz w:val="16"/>
      <w:szCs w:val="16"/>
    </w:rPr>
  </w:style>
  <w:style w:type="paragraph" w:styleId="CommentText">
    <w:name w:val="annotation text"/>
    <w:basedOn w:val="Normal"/>
    <w:link w:val="CommentTextChar"/>
    <w:uiPriority w:val="99"/>
    <w:unhideWhenUsed/>
    <w:rsid w:val="0019002F"/>
    <w:pPr>
      <w:spacing w:line="240" w:lineRule="auto"/>
    </w:pPr>
    <w:rPr>
      <w:sz w:val="20"/>
      <w:szCs w:val="20"/>
    </w:rPr>
  </w:style>
  <w:style w:type="character" w:customStyle="1" w:styleId="CommentTextChar">
    <w:name w:val="Comment Text Char"/>
    <w:basedOn w:val="DefaultParagraphFont"/>
    <w:link w:val="CommentText"/>
    <w:uiPriority w:val="99"/>
    <w:rsid w:val="0019002F"/>
    <w:rPr>
      <w:sz w:val="20"/>
      <w:szCs w:val="20"/>
    </w:rPr>
  </w:style>
  <w:style w:type="paragraph" w:styleId="CommentSubject">
    <w:name w:val="annotation subject"/>
    <w:basedOn w:val="CommentText"/>
    <w:next w:val="CommentText"/>
    <w:link w:val="CommentSubjectChar"/>
    <w:uiPriority w:val="99"/>
    <w:semiHidden/>
    <w:unhideWhenUsed/>
    <w:rsid w:val="0019002F"/>
    <w:rPr>
      <w:b/>
      <w:bCs/>
    </w:rPr>
  </w:style>
  <w:style w:type="character" w:customStyle="1" w:styleId="CommentSubjectChar">
    <w:name w:val="Comment Subject Char"/>
    <w:basedOn w:val="CommentTextChar"/>
    <w:link w:val="CommentSubject"/>
    <w:uiPriority w:val="99"/>
    <w:semiHidden/>
    <w:rsid w:val="0019002F"/>
    <w:rPr>
      <w:b/>
      <w:bCs/>
      <w:sz w:val="20"/>
      <w:szCs w:val="20"/>
    </w:rPr>
  </w:style>
  <w:style w:type="paragraph" w:styleId="BalloonText">
    <w:name w:val="Balloon Text"/>
    <w:basedOn w:val="Normal"/>
    <w:link w:val="BalloonTextChar"/>
    <w:uiPriority w:val="99"/>
    <w:semiHidden/>
    <w:unhideWhenUsed/>
    <w:rsid w:val="0019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02F"/>
    <w:rPr>
      <w:rFonts w:ascii="Segoe UI" w:hAnsi="Segoe UI" w:cs="Segoe UI"/>
      <w:sz w:val="18"/>
      <w:szCs w:val="18"/>
    </w:rPr>
  </w:style>
  <w:style w:type="paragraph" w:styleId="Header">
    <w:name w:val="header"/>
    <w:basedOn w:val="Normal"/>
    <w:link w:val="HeaderChar"/>
    <w:uiPriority w:val="99"/>
    <w:unhideWhenUsed/>
    <w:rsid w:val="00005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4CD"/>
  </w:style>
  <w:style w:type="paragraph" w:styleId="Footer">
    <w:name w:val="footer"/>
    <w:basedOn w:val="Normal"/>
    <w:link w:val="FooterChar"/>
    <w:uiPriority w:val="99"/>
    <w:unhideWhenUsed/>
    <w:rsid w:val="00005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4CD"/>
  </w:style>
  <w:style w:type="paragraph" w:styleId="Revision">
    <w:name w:val="Revision"/>
    <w:hidden/>
    <w:uiPriority w:val="99"/>
    <w:semiHidden/>
    <w:rsid w:val="00B25688"/>
    <w:pPr>
      <w:spacing w:after="0" w:line="240" w:lineRule="auto"/>
    </w:pPr>
  </w:style>
  <w:style w:type="paragraph" w:styleId="ListParagraph">
    <w:name w:val="List Paragraph"/>
    <w:basedOn w:val="Normal"/>
    <w:uiPriority w:val="34"/>
    <w:qFormat/>
    <w:rsid w:val="00E853E3"/>
    <w:pPr>
      <w:ind w:left="720"/>
      <w:contextualSpacing/>
    </w:pPr>
  </w:style>
  <w:style w:type="paragraph" w:customStyle="1" w:styleId="zzTrailerDocName">
    <w:name w:val="zzTrailerDocName"/>
    <w:basedOn w:val="Default"/>
    <w:link w:val="zzTrailerDocNameChar"/>
    <w:rsid w:val="00C00965"/>
    <w:pPr>
      <w:spacing w:after="240"/>
    </w:pPr>
    <w:rPr>
      <w:color w:val="000000" w:themeColor="text1"/>
      <w:sz w:val="16"/>
    </w:rPr>
  </w:style>
  <w:style w:type="character" w:customStyle="1" w:styleId="DefaultChar">
    <w:name w:val="Default Char"/>
    <w:basedOn w:val="DefaultParagraphFont"/>
    <w:link w:val="Default"/>
    <w:rsid w:val="00C00965"/>
    <w:rPr>
      <w:rFonts w:ascii="Arial" w:hAnsi="Arial" w:cs="Arial"/>
      <w:color w:val="000000"/>
      <w:sz w:val="24"/>
      <w:szCs w:val="24"/>
    </w:rPr>
  </w:style>
  <w:style w:type="character" w:customStyle="1" w:styleId="zzTrailerDocNameChar">
    <w:name w:val="zzTrailerDocName Char"/>
    <w:basedOn w:val="DefaultChar"/>
    <w:link w:val="zzTrailerDocName"/>
    <w:rsid w:val="00C00965"/>
    <w:rPr>
      <w:rFonts w:ascii="Arial" w:hAnsi="Arial" w:cs="Arial"/>
      <w:color w:val="000000" w:themeColor="text1"/>
      <w:sz w:val="16"/>
      <w:szCs w:val="24"/>
    </w:rPr>
  </w:style>
  <w:style w:type="character" w:customStyle="1" w:styleId="ssparalabel">
    <w:name w:val="ss_paralabel"/>
    <w:basedOn w:val="DefaultParagraphFont"/>
    <w:rsid w:val="002F271E"/>
  </w:style>
  <w:style w:type="character" w:customStyle="1" w:styleId="ssbf">
    <w:name w:val="ss_bf"/>
    <w:basedOn w:val="DefaultParagraphFont"/>
    <w:rsid w:val="002F271E"/>
  </w:style>
  <w:style w:type="character" w:customStyle="1" w:styleId="ssparacontent">
    <w:name w:val="ss_paracontent"/>
    <w:basedOn w:val="DefaultParagraphFont"/>
    <w:rsid w:val="002F271E"/>
  </w:style>
  <w:style w:type="character" w:customStyle="1" w:styleId="ssprior">
    <w:name w:val="ss_prior"/>
    <w:basedOn w:val="DefaultParagraphFont"/>
    <w:rsid w:val="002F271E"/>
  </w:style>
  <w:style w:type="paragraph" w:styleId="BodyText">
    <w:name w:val="Body Text"/>
    <w:basedOn w:val="Normal"/>
    <w:link w:val="BodyTextChar"/>
    <w:uiPriority w:val="99"/>
    <w:semiHidden/>
    <w:unhideWhenUsed/>
    <w:rsid w:val="00BA08CF"/>
    <w:pPr>
      <w:spacing w:after="120"/>
    </w:pPr>
  </w:style>
  <w:style w:type="character" w:customStyle="1" w:styleId="BodyTextChar">
    <w:name w:val="Body Text Char"/>
    <w:basedOn w:val="DefaultParagraphFont"/>
    <w:link w:val="BodyText"/>
    <w:uiPriority w:val="99"/>
    <w:semiHidden/>
    <w:rsid w:val="00BA08CF"/>
  </w:style>
  <w:style w:type="character" w:customStyle="1" w:styleId="ui-provider">
    <w:name w:val="ui-provider"/>
    <w:basedOn w:val="DefaultParagraphFont"/>
    <w:rsid w:val="002F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880">
      <w:bodyDiv w:val="1"/>
      <w:marLeft w:val="0"/>
      <w:marRight w:val="0"/>
      <w:marTop w:val="0"/>
      <w:marBottom w:val="0"/>
      <w:divBdr>
        <w:top w:val="none" w:sz="0" w:space="0" w:color="auto"/>
        <w:left w:val="none" w:sz="0" w:space="0" w:color="auto"/>
        <w:bottom w:val="none" w:sz="0" w:space="0" w:color="auto"/>
        <w:right w:val="none" w:sz="0" w:space="0" w:color="auto"/>
      </w:divBdr>
    </w:div>
    <w:div w:id="497623952">
      <w:bodyDiv w:val="1"/>
      <w:marLeft w:val="0"/>
      <w:marRight w:val="0"/>
      <w:marTop w:val="0"/>
      <w:marBottom w:val="0"/>
      <w:divBdr>
        <w:top w:val="none" w:sz="0" w:space="0" w:color="auto"/>
        <w:left w:val="none" w:sz="0" w:space="0" w:color="auto"/>
        <w:bottom w:val="none" w:sz="0" w:space="0" w:color="auto"/>
        <w:right w:val="none" w:sz="0" w:space="0" w:color="auto"/>
      </w:divBdr>
    </w:div>
    <w:div w:id="566887946">
      <w:bodyDiv w:val="1"/>
      <w:marLeft w:val="0"/>
      <w:marRight w:val="0"/>
      <w:marTop w:val="0"/>
      <w:marBottom w:val="0"/>
      <w:divBdr>
        <w:top w:val="none" w:sz="0" w:space="0" w:color="auto"/>
        <w:left w:val="none" w:sz="0" w:space="0" w:color="auto"/>
        <w:bottom w:val="none" w:sz="0" w:space="0" w:color="auto"/>
        <w:right w:val="none" w:sz="0" w:space="0" w:color="auto"/>
      </w:divBdr>
      <w:divsChild>
        <w:div w:id="1982614948">
          <w:marLeft w:val="0"/>
          <w:marRight w:val="0"/>
          <w:marTop w:val="0"/>
          <w:marBottom w:val="0"/>
          <w:divBdr>
            <w:top w:val="none" w:sz="0" w:space="0" w:color="auto"/>
            <w:left w:val="none" w:sz="0" w:space="0" w:color="auto"/>
            <w:bottom w:val="none" w:sz="0" w:space="0" w:color="auto"/>
            <w:right w:val="none" w:sz="0" w:space="0" w:color="auto"/>
          </w:divBdr>
        </w:div>
      </w:divsChild>
    </w:div>
    <w:div w:id="1066151814">
      <w:bodyDiv w:val="1"/>
      <w:marLeft w:val="0"/>
      <w:marRight w:val="0"/>
      <w:marTop w:val="0"/>
      <w:marBottom w:val="0"/>
      <w:divBdr>
        <w:top w:val="single" w:sz="12" w:space="0" w:color="767575"/>
        <w:left w:val="none" w:sz="0" w:space="0" w:color="auto"/>
        <w:bottom w:val="none" w:sz="0" w:space="0" w:color="auto"/>
        <w:right w:val="none" w:sz="0" w:space="0" w:color="auto"/>
      </w:divBdr>
      <w:divsChild>
        <w:div w:id="320736055">
          <w:marLeft w:val="0"/>
          <w:marRight w:val="0"/>
          <w:marTop w:val="0"/>
          <w:marBottom w:val="0"/>
          <w:divBdr>
            <w:top w:val="none" w:sz="0" w:space="0" w:color="auto"/>
            <w:left w:val="none" w:sz="0" w:space="0" w:color="auto"/>
            <w:bottom w:val="none" w:sz="0" w:space="0" w:color="auto"/>
            <w:right w:val="none" w:sz="0" w:space="0" w:color="auto"/>
          </w:divBdr>
          <w:divsChild>
            <w:div w:id="1809976301">
              <w:marLeft w:val="0"/>
              <w:marRight w:val="0"/>
              <w:marTop w:val="0"/>
              <w:marBottom w:val="0"/>
              <w:divBdr>
                <w:top w:val="none" w:sz="0" w:space="0" w:color="auto"/>
                <w:left w:val="none" w:sz="0" w:space="0" w:color="auto"/>
                <w:bottom w:val="none" w:sz="0" w:space="0" w:color="auto"/>
                <w:right w:val="none" w:sz="0" w:space="0" w:color="auto"/>
              </w:divBdr>
              <w:divsChild>
                <w:div w:id="100227273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84690314">
                      <w:marLeft w:val="0"/>
                      <w:marRight w:val="0"/>
                      <w:marTop w:val="0"/>
                      <w:marBottom w:val="0"/>
                      <w:divBdr>
                        <w:top w:val="none" w:sz="0" w:space="0" w:color="auto"/>
                        <w:left w:val="none" w:sz="0" w:space="0" w:color="auto"/>
                        <w:bottom w:val="none" w:sz="0" w:space="0" w:color="auto"/>
                        <w:right w:val="none" w:sz="0" w:space="0" w:color="auto"/>
                      </w:divBdr>
                      <w:divsChild>
                        <w:div w:id="973565374">
                          <w:marLeft w:val="0"/>
                          <w:marRight w:val="0"/>
                          <w:marTop w:val="0"/>
                          <w:marBottom w:val="0"/>
                          <w:divBdr>
                            <w:top w:val="none" w:sz="0" w:space="0" w:color="auto"/>
                            <w:left w:val="none" w:sz="0" w:space="0" w:color="auto"/>
                            <w:bottom w:val="none" w:sz="0" w:space="0" w:color="auto"/>
                            <w:right w:val="none" w:sz="0" w:space="0" w:color="auto"/>
                          </w:divBdr>
                          <w:divsChild>
                            <w:div w:id="683243773">
                              <w:marLeft w:val="0"/>
                              <w:marRight w:val="0"/>
                              <w:marTop w:val="0"/>
                              <w:marBottom w:val="0"/>
                              <w:divBdr>
                                <w:top w:val="none" w:sz="0" w:space="0" w:color="auto"/>
                                <w:left w:val="none" w:sz="0" w:space="0" w:color="auto"/>
                                <w:bottom w:val="none" w:sz="0" w:space="0" w:color="auto"/>
                                <w:right w:val="none" w:sz="0" w:space="0" w:color="auto"/>
                              </w:divBdr>
                              <w:divsChild>
                                <w:div w:id="1762330462">
                                  <w:marLeft w:val="0"/>
                                  <w:marRight w:val="0"/>
                                  <w:marTop w:val="0"/>
                                  <w:marBottom w:val="0"/>
                                  <w:divBdr>
                                    <w:top w:val="none" w:sz="0" w:space="0" w:color="auto"/>
                                    <w:left w:val="none" w:sz="0" w:space="0" w:color="auto"/>
                                    <w:bottom w:val="none" w:sz="0" w:space="0" w:color="auto"/>
                                    <w:right w:val="none" w:sz="0" w:space="0" w:color="auto"/>
                                  </w:divBdr>
                                  <w:divsChild>
                                    <w:div w:id="612325478">
                                      <w:marLeft w:val="0"/>
                                      <w:marRight w:val="0"/>
                                      <w:marTop w:val="0"/>
                                      <w:marBottom w:val="0"/>
                                      <w:divBdr>
                                        <w:top w:val="none" w:sz="0" w:space="0" w:color="auto"/>
                                        <w:left w:val="none" w:sz="0" w:space="0" w:color="auto"/>
                                        <w:bottom w:val="none" w:sz="0" w:space="0" w:color="auto"/>
                                        <w:right w:val="none" w:sz="0" w:space="0" w:color="auto"/>
                                      </w:divBdr>
                                      <w:divsChild>
                                        <w:div w:id="1326515291">
                                          <w:marLeft w:val="0"/>
                                          <w:marRight w:val="0"/>
                                          <w:marTop w:val="0"/>
                                          <w:marBottom w:val="0"/>
                                          <w:divBdr>
                                            <w:top w:val="none" w:sz="0" w:space="0" w:color="auto"/>
                                            <w:left w:val="none" w:sz="0" w:space="0" w:color="auto"/>
                                            <w:bottom w:val="none" w:sz="0" w:space="0" w:color="auto"/>
                                            <w:right w:val="none" w:sz="0" w:space="0" w:color="auto"/>
                                          </w:divBdr>
                                          <w:divsChild>
                                            <w:div w:id="785543443">
                                              <w:marLeft w:val="0"/>
                                              <w:marRight w:val="0"/>
                                              <w:marTop w:val="0"/>
                                              <w:marBottom w:val="240"/>
                                              <w:divBdr>
                                                <w:top w:val="none" w:sz="0" w:space="0" w:color="auto"/>
                                                <w:left w:val="none" w:sz="0" w:space="0" w:color="auto"/>
                                                <w:bottom w:val="none" w:sz="0" w:space="0" w:color="auto"/>
                                                <w:right w:val="none" w:sz="0" w:space="0" w:color="auto"/>
                                              </w:divBdr>
                                            </w:div>
                                            <w:div w:id="562832400">
                                              <w:marLeft w:val="0"/>
                                              <w:marRight w:val="0"/>
                                              <w:marTop w:val="0"/>
                                              <w:marBottom w:val="240"/>
                                              <w:divBdr>
                                                <w:top w:val="none" w:sz="0" w:space="0" w:color="auto"/>
                                                <w:left w:val="none" w:sz="0" w:space="0" w:color="auto"/>
                                                <w:bottom w:val="none" w:sz="0" w:space="0" w:color="auto"/>
                                                <w:right w:val="none" w:sz="0" w:space="0" w:color="auto"/>
                                              </w:divBdr>
                                            </w:div>
                                            <w:div w:id="2102679303">
                                              <w:marLeft w:val="0"/>
                                              <w:marRight w:val="0"/>
                                              <w:marTop w:val="0"/>
                                              <w:marBottom w:val="240"/>
                                              <w:divBdr>
                                                <w:top w:val="none" w:sz="0" w:space="0" w:color="auto"/>
                                                <w:left w:val="none" w:sz="0" w:space="0" w:color="auto"/>
                                                <w:bottom w:val="none" w:sz="0" w:space="0" w:color="auto"/>
                                                <w:right w:val="none" w:sz="0" w:space="0" w:color="auto"/>
                                              </w:divBdr>
                                            </w:div>
                                            <w:div w:id="1367833621">
                                              <w:marLeft w:val="0"/>
                                              <w:marRight w:val="0"/>
                                              <w:marTop w:val="0"/>
                                              <w:marBottom w:val="240"/>
                                              <w:divBdr>
                                                <w:top w:val="none" w:sz="0" w:space="0" w:color="auto"/>
                                                <w:left w:val="none" w:sz="0" w:space="0" w:color="auto"/>
                                                <w:bottom w:val="none" w:sz="0" w:space="0" w:color="auto"/>
                                                <w:right w:val="none" w:sz="0" w:space="0" w:color="auto"/>
                                              </w:divBdr>
                                            </w:div>
                                            <w:div w:id="1652447346">
                                              <w:marLeft w:val="0"/>
                                              <w:marRight w:val="0"/>
                                              <w:marTop w:val="0"/>
                                              <w:marBottom w:val="240"/>
                                              <w:divBdr>
                                                <w:top w:val="none" w:sz="0" w:space="0" w:color="auto"/>
                                                <w:left w:val="none" w:sz="0" w:space="0" w:color="auto"/>
                                                <w:bottom w:val="none" w:sz="0" w:space="0" w:color="auto"/>
                                                <w:right w:val="none" w:sz="0" w:space="0" w:color="auto"/>
                                              </w:divBdr>
                                            </w:div>
                                            <w:div w:id="970328948">
                                              <w:marLeft w:val="0"/>
                                              <w:marRight w:val="0"/>
                                              <w:marTop w:val="0"/>
                                              <w:marBottom w:val="240"/>
                                              <w:divBdr>
                                                <w:top w:val="none" w:sz="0" w:space="0" w:color="auto"/>
                                                <w:left w:val="none" w:sz="0" w:space="0" w:color="auto"/>
                                                <w:bottom w:val="none" w:sz="0" w:space="0" w:color="auto"/>
                                                <w:right w:val="none" w:sz="0" w:space="0" w:color="auto"/>
                                              </w:divBdr>
                                            </w:div>
                                            <w:div w:id="1512335363">
                                              <w:marLeft w:val="0"/>
                                              <w:marRight w:val="0"/>
                                              <w:marTop w:val="0"/>
                                              <w:marBottom w:val="240"/>
                                              <w:divBdr>
                                                <w:top w:val="none" w:sz="0" w:space="0" w:color="auto"/>
                                                <w:left w:val="none" w:sz="0" w:space="0" w:color="auto"/>
                                                <w:bottom w:val="none" w:sz="0" w:space="0" w:color="auto"/>
                                                <w:right w:val="none" w:sz="0" w:space="0" w:color="auto"/>
                                              </w:divBdr>
                                            </w:div>
                                            <w:div w:id="1647707116">
                                              <w:marLeft w:val="0"/>
                                              <w:marRight w:val="0"/>
                                              <w:marTop w:val="0"/>
                                              <w:marBottom w:val="240"/>
                                              <w:divBdr>
                                                <w:top w:val="none" w:sz="0" w:space="0" w:color="auto"/>
                                                <w:left w:val="none" w:sz="0" w:space="0" w:color="auto"/>
                                                <w:bottom w:val="none" w:sz="0" w:space="0" w:color="auto"/>
                                                <w:right w:val="none" w:sz="0" w:space="0" w:color="auto"/>
                                              </w:divBdr>
                                            </w:div>
                                            <w:div w:id="1882281443">
                                              <w:marLeft w:val="0"/>
                                              <w:marRight w:val="0"/>
                                              <w:marTop w:val="0"/>
                                              <w:marBottom w:val="240"/>
                                              <w:divBdr>
                                                <w:top w:val="none" w:sz="0" w:space="0" w:color="auto"/>
                                                <w:left w:val="none" w:sz="0" w:space="0" w:color="auto"/>
                                                <w:bottom w:val="none" w:sz="0" w:space="0" w:color="auto"/>
                                                <w:right w:val="none" w:sz="0" w:space="0" w:color="auto"/>
                                              </w:divBdr>
                                            </w:div>
                                            <w:div w:id="196503812">
                                              <w:marLeft w:val="0"/>
                                              <w:marRight w:val="0"/>
                                              <w:marTop w:val="0"/>
                                              <w:marBottom w:val="240"/>
                                              <w:divBdr>
                                                <w:top w:val="none" w:sz="0" w:space="0" w:color="auto"/>
                                                <w:left w:val="none" w:sz="0" w:space="0" w:color="auto"/>
                                                <w:bottom w:val="none" w:sz="0" w:space="0" w:color="auto"/>
                                                <w:right w:val="none" w:sz="0" w:space="0" w:color="auto"/>
                                              </w:divBdr>
                                            </w:div>
                                            <w:div w:id="1670327385">
                                              <w:marLeft w:val="0"/>
                                              <w:marRight w:val="0"/>
                                              <w:marTop w:val="0"/>
                                              <w:marBottom w:val="240"/>
                                              <w:divBdr>
                                                <w:top w:val="none" w:sz="0" w:space="0" w:color="auto"/>
                                                <w:left w:val="none" w:sz="0" w:space="0" w:color="auto"/>
                                                <w:bottom w:val="none" w:sz="0" w:space="0" w:color="auto"/>
                                                <w:right w:val="none" w:sz="0" w:space="0" w:color="auto"/>
                                              </w:divBdr>
                                            </w:div>
                                            <w:div w:id="1452632117">
                                              <w:marLeft w:val="0"/>
                                              <w:marRight w:val="0"/>
                                              <w:marTop w:val="0"/>
                                              <w:marBottom w:val="240"/>
                                              <w:divBdr>
                                                <w:top w:val="none" w:sz="0" w:space="0" w:color="auto"/>
                                                <w:left w:val="none" w:sz="0" w:space="0" w:color="auto"/>
                                                <w:bottom w:val="none" w:sz="0" w:space="0" w:color="auto"/>
                                                <w:right w:val="none" w:sz="0" w:space="0" w:color="auto"/>
                                              </w:divBdr>
                                            </w:div>
                                            <w:div w:id="1312562850">
                                              <w:marLeft w:val="0"/>
                                              <w:marRight w:val="0"/>
                                              <w:marTop w:val="0"/>
                                              <w:marBottom w:val="240"/>
                                              <w:divBdr>
                                                <w:top w:val="none" w:sz="0" w:space="0" w:color="auto"/>
                                                <w:left w:val="none" w:sz="0" w:space="0" w:color="auto"/>
                                                <w:bottom w:val="none" w:sz="0" w:space="0" w:color="auto"/>
                                                <w:right w:val="none" w:sz="0" w:space="0" w:color="auto"/>
                                              </w:divBdr>
                                            </w:div>
                                            <w:div w:id="987319724">
                                              <w:marLeft w:val="0"/>
                                              <w:marRight w:val="0"/>
                                              <w:marTop w:val="0"/>
                                              <w:marBottom w:val="240"/>
                                              <w:divBdr>
                                                <w:top w:val="none" w:sz="0" w:space="0" w:color="auto"/>
                                                <w:left w:val="none" w:sz="0" w:space="0" w:color="auto"/>
                                                <w:bottom w:val="none" w:sz="0" w:space="0" w:color="auto"/>
                                                <w:right w:val="none" w:sz="0" w:space="0" w:color="auto"/>
                                              </w:divBdr>
                                            </w:div>
                                            <w:div w:id="1769158828">
                                              <w:marLeft w:val="0"/>
                                              <w:marRight w:val="0"/>
                                              <w:marTop w:val="0"/>
                                              <w:marBottom w:val="240"/>
                                              <w:divBdr>
                                                <w:top w:val="none" w:sz="0" w:space="0" w:color="auto"/>
                                                <w:left w:val="none" w:sz="0" w:space="0" w:color="auto"/>
                                                <w:bottom w:val="none" w:sz="0" w:space="0" w:color="auto"/>
                                                <w:right w:val="none" w:sz="0" w:space="0" w:color="auto"/>
                                              </w:divBdr>
                                            </w:div>
                                            <w:div w:id="659844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876122">
      <w:bodyDiv w:val="1"/>
      <w:marLeft w:val="0"/>
      <w:marRight w:val="0"/>
      <w:marTop w:val="0"/>
      <w:marBottom w:val="0"/>
      <w:divBdr>
        <w:top w:val="none" w:sz="0" w:space="0" w:color="auto"/>
        <w:left w:val="none" w:sz="0" w:space="0" w:color="auto"/>
        <w:bottom w:val="none" w:sz="0" w:space="0" w:color="auto"/>
        <w:right w:val="none" w:sz="0" w:space="0" w:color="auto"/>
      </w:divBdr>
    </w:div>
    <w:div w:id="1572502666">
      <w:bodyDiv w:val="1"/>
      <w:marLeft w:val="0"/>
      <w:marRight w:val="0"/>
      <w:marTop w:val="0"/>
      <w:marBottom w:val="0"/>
      <w:divBdr>
        <w:top w:val="none" w:sz="0" w:space="0" w:color="auto"/>
        <w:left w:val="none" w:sz="0" w:space="0" w:color="auto"/>
        <w:bottom w:val="none" w:sz="0" w:space="0" w:color="auto"/>
        <w:right w:val="none" w:sz="0" w:space="0" w:color="auto"/>
      </w:divBdr>
    </w:div>
    <w:div w:id="1693998155">
      <w:bodyDiv w:val="1"/>
      <w:marLeft w:val="0"/>
      <w:marRight w:val="0"/>
      <w:marTop w:val="0"/>
      <w:marBottom w:val="0"/>
      <w:divBdr>
        <w:top w:val="none" w:sz="0" w:space="0" w:color="auto"/>
        <w:left w:val="none" w:sz="0" w:space="0" w:color="auto"/>
        <w:bottom w:val="none" w:sz="0" w:space="0" w:color="auto"/>
        <w:right w:val="none" w:sz="0" w:space="0" w:color="auto"/>
      </w:divBdr>
    </w:div>
    <w:div w:id="19971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F15A-6808-4445-8B1D-8A11DCAA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2023-05-15T23:26:00Z</dcterms:created>
  <dcterms:modified xsi:type="dcterms:W3CDTF">2023-05-15T23:26:00Z</dcterms:modified>
</cp:coreProperties>
</file>